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19B" w:rsidRDefault="00E1719B">
      <w:pPr>
        <w:spacing w:line="600" w:lineRule="exact"/>
        <w:jc w:val="center"/>
        <w:rPr>
          <w:rFonts w:eastAsia="黑体" w:cs="宋体"/>
          <w:b/>
          <w:sz w:val="52"/>
          <w:szCs w:val="52"/>
        </w:rPr>
      </w:pPr>
    </w:p>
    <w:p w:rsidR="00E1719B" w:rsidRDefault="00E1719B">
      <w:pPr>
        <w:spacing w:line="600" w:lineRule="exact"/>
        <w:jc w:val="center"/>
        <w:rPr>
          <w:rFonts w:eastAsia="黑体" w:cs="宋体"/>
          <w:b/>
          <w:sz w:val="52"/>
          <w:szCs w:val="52"/>
        </w:rPr>
      </w:pPr>
    </w:p>
    <w:p w:rsidR="00E1719B" w:rsidRDefault="00E1719B">
      <w:pPr>
        <w:spacing w:line="600" w:lineRule="exact"/>
        <w:jc w:val="left"/>
        <w:rPr>
          <w:rFonts w:ascii="黑体" w:eastAsia="黑体" w:hAnsi="黑体" w:cs="黑体"/>
          <w:b/>
          <w:bCs/>
          <w:sz w:val="32"/>
          <w:szCs w:val="32"/>
        </w:rPr>
      </w:pPr>
    </w:p>
    <w:p w:rsidR="00E1719B" w:rsidRDefault="00E1719B">
      <w:pPr>
        <w:spacing w:line="600" w:lineRule="exact"/>
        <w:jc w:val="left"/>
        <w:rPr>
          <w:rFonts w:ascii="Arial" w:eastAsia="Symbol" w:hAnsi="Arial"/>
          <w:b/>
          <w:bCs/>
          <w:sz w:val="32"/>
          <w:szCs w:val="32"/>
        </w:rPr>
      </w:pPr>
    </w:p>
    <w:p w:rsidR="00E1719B" w:rsidRDefault="00E1719B">
      <w:pPr>
        <w:spacing w:line="600" w:lineRule="exact"/>
        <w:jc w:val="center"/>
        <w:rPr>
          <w:rFonts w:ascii="Arial" w:eastAsia="宋体" w:hAnsi="Arial"/>
          <w:b/>
          <w:bCs/>
          <w:sz w:val="32"/>
          <w:szCs w:val="32"/>
        </w:rPr>
      </w:pPr>
    </w:p>
    <w:p w:rsidR="00E1719B" w:rsidRDefault="00E1719B">
      <w:pPr>
        <w:spacing w:line="600" w:lineRule="exact"/>
        <w:jc w:val="center"/>
        <w:rPr>
          <w:rFonts w:ascii="Arial" w:eastAsia="宋体" w:hAnsi="Arial"/>
          <w:b/>
          <w:bCs/>
          <w:sz w:val="32"/>
          <w:szCs w:val="32"/>
        </w:rPr>
      </w:pPr>
    </w:p>
    <w:p w:rsidR="00E1719B" w:rsidRDefault="00E1719B">
      <w:pPr>
        <w:spacing w:line="600" w:lineRule="exact"/>
        <w:jc w:val="center"/>
        <w:rPr>
          <w:rFonts w:ascii="Arial" w:eastAsia="宋体" w:hAnsi="Arial"/>
          <w:b/>
          <w:bCs/>
          <w:sz w:val="32"/>
          <w:szCs w:val="32"/>
        </w:rPr>
      </w:pPr>
    </w:p>
    <w:p w:rsidR="00E1719B" w:rsidRDefault="008429D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2024年度锡林郭勒盟</w:t>
      </w:r>
    </w:p>
    <w:p w:rsidR="00E1719B" w:rsidRDefault="008429D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市场监督管理局预算公开</w:t>
      </w: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rPr>
          <w:rFonts w:ascii="黑体" w:eastAsia="黑体" w:hAnsi="黑体" w:cs="黑体"/>
          <w:sz w:val="32"/>
          <w:szCs w:val="32"/>
        </w:rPr>
      </w:pPr>
    </w:p>
    <w:p w:rsidR="00E1719B" w:rsidRDefault="008429D3">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2024年3月10日</w:t>
      </w:r>
    </w:p>
    <w:p w:rsidR="00E1719B" w:rsidRDefault="008429D3">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2024年3月15日</w:t>
      </w: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E1719B">
      <w:pPr>
        <w:adjustRightInd w:val="0"/>
        <w:snapToGrid w:val="0"/>
        <w:spacing w:line="600" w:lineRule="exact"/>
        <w:ind w:firstLine="640"/>
        <w:rPr>
          <w:rFonts w:ascii="仿宋" w:eastAsia="仿宋" w:hAnsi="仿宋"/>
          <w:sz w:val="32"/>
          <w:szCs w:val="32"/>
        </w:rPr>
      </w:pPr>
    </w:p>
    <w:p w:rsidR="00E1719B" w:rsidRDefault="008429D3">
      <w:pPr>
        <w:pStyle w:val="20"/>
        <w:tabs>
          <w:tab w:val="left" w:pos="4533"/>
        </w:tabs>
        <w:spacing w:before="0" w:after="0" w:line="600" w:lineRule="exact"/>
        <w:ind w:firstLineChars="0" w:firstLine="0"/>
        <w:jc w:val="center"/>
        <w:rPr>
          <w:sz w:val="44"/>
          <w:szCs w:val="44"/>
        </w:rPr>
      </w:pPr>
      <w:r>
        <w:rPr>
          <w:sz w:val="44"/>
          <w:szCs w:val="44"/>
        </w:rPr>
        <w:t>目</w:t>
      </w:r>
      <w:r>
        <w:rPr>
          <w:rFonts w:eastAsia="宋体" w:hint="eastAsia"/>
          <w:sz w:val="44"/>
          <w:szCs w:val="44"/>
        </w:rPr>
        <w:t xml:space="preserve">  </w:t>
      </w:r>
      <w:r>
        <w:rPr>
          <w:rFonts w:hint="eastAsia"/>
          <w:sz w:val="44"/>
          <w:szCs w:val="44"/>
        </w:rPr>
        <w:t xml:space="preserve">  </w:t>
      </w:r>
      <w:r>
        <w:rPr>
          <w:sz w:val="44"/>
          <w:szCs w:val="44"/>
        </w:rPr>
        <w:t>录</w:t>
      </w:r>
    </w:p>
    <w:p w:rsidR="00E1719B" w:rsidRDefault="00E1719B"/>
    <w:p w:rsidR="00E1719B" w:rsidRDefault="008429D3">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rsidR="00E1719B" w:rsidRDefault="008429D3">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E1719B" w:rsidRDefault="008429D3">
      <w:pPr>
        <w:pStyle w:val="a5"/>
        <w:spacing w:after="0" w:line="600" w:lineRule="exact"/>
        <w:rPr>
          <w:rFonts w:ascii="黑体" w:eastAsia="黑体" w:hAnsi="黑体" w:cs="黑体"/>
          <w:sz w:val="32"/>
          <w:szCs w:val="32"/>
        </w:rPr>
      </w:pPr>
      <w:r>
        <w:rPr>
          <w:rFonts w:ascii="仿宋" w:eastAsia="仿宋" w:hAnsi="仿宋" w:cs="仿宋" w:hint="eastAsia"/>
          <w:sz w:val="32"/>
          <w:szCs w:val="32"/>
        </w:rPr>
        <w:t>三、2024年度部门（单位）主要工作任务及目标</w:t>
      </w:r>
    </w:p>
    <w:p w:rsidR="00E1719B" w:rsidRDefault="008429D3">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 2024年度部门（单位）预算情况说明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E1719B" w:rsidRDefault="008429D3">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E1719B" w:rsidRDefault="008429D3">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E1719B" w:rsidRDefault="008429D3">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E1719B" w:rsidRDefault="008429D3">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 2024年度部门（单位）预算表</w:t>
      </w:r>
    </w:p>
    <w:p w:rsidR="00E1719B" w:rsidRDefault="008429D3">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E1719B" w:rsidRDefault="008429D3">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E1719B" w:rsidRDefault="008429D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E1719B" w:rsidRDefault="00E1719B">
      <w:pPr>
        <w:pStyle w:val="2"/>
        <w:spacing w:after="0" w:line="600" w:lineRule="exact"/>
        <w:rPr>
          <w:rFonts w:hint="default"/>
        </w:rPr>
        <w:sectPr w:rsidR="00E1719B">
          <w:headerReference w:type="default" r:id="rId8"/>
          <w:footerReference w:type="default" r:id="rId9"/>
          <w:pgSz w:w="11910" w:h="16840"/>
          <w:pgMar w:top="1582" w:right="1680" w:bottom="278" w:left="1640" w:header="720" w:footer="720" w:gutter="0"/>
          <w:pgNumType w:fmt="numberInDash"/>
          <w:cols w:space="0"/>
        </w:sectPr>
      </w:pPr>
    </w:p>
    <w:p w:rsidR="00E1719B" w:rsidRDefault="008429D3">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  部门（单位）概况</w:t>
      </w:r>
    </w:p>
    <w:p w:rsidR="00E1719B" w:rsidRDefault="00E1719B">
      <w:pPr>
        <w:spacing w:line="600" w:lineRule="exact"/>
        <w:rPr>
          <w:rFonts w:ascii="方正小标宋简体" w:eastAsia="方正小标宋简体" w:hAnsi="方正小标宋简体" w:cs="方正小标宋简体"/>
          <w:sz w:val="36"/>
          <w:szCs w:val="36"/>
        </w:rPr>
      </w:pPr>
    </w:p>
    <w:p w:rsidR="00E1719B" w:rsidRDefault="008429D3">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E1719B" w:rsidRDefault="00E1719B">
      <w:pPr>
        <w:pStyle w:val="2"/>
        <w:rPr>
          <w:rFonts w:hint="default"/>
        </w:rPr>
      </w:pPr>
    </w:p>
    <w:p w:rsidR="00E1719B" w:rsidRDefault="008429D3">
      <w:pPr>
        <w:widowControl/>
        <w:snapToGrid w:val="0"/>
        <w:spacing w:line="600" w:lineRule="atLeast"/>
        <w:ind w:firstLine="640"/>
        <w:rPr>
          <w:rFonts w:ascii="楷体_GB2312" w:eastAsia="楷体_GB2312"/>
          <w:b/>
          <w:bCs/>
          <w:sz w:val="32"/>
          <w:szCs w:val="32"/>
        </w:rPr>
      </w:pPr>
      <w:r>
        <w:rPr>
          <w:rFonts w:ascii="楷体_GB2312" w:eastAsia="楷体_GB2312" w:hint="eastAsia"/>
          <w:b/>
          <w:bCs/>
          <w:sz w:val="32"/>
          <w:szCs w:val="32"/>
        </w:rPr>
        <w:t>（一）部门所属单位职能</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锡林郭勒盟市场监督管理局是盟行署工作部门，同时加挂知识产权局牌子。</w:t>
      </w:r>
    </w:p>
    <w:p w:rsidR="00E1719B" w:rsidRDefault="008429D3">
      <w:pPr>
        <w:widowControl/>
        <w:snapToGrid w:val="0"/>
        <w:spacing w:line="600" w:lineRule="atLeast"/>
        <w:ind w:firstLine="640"/>
        <w:rPr>
          <w:rFonts w:ascii="楷体_GB2312" w:eastAsia="楷体_GB2312"/>
          <w:b/>
          <w:bCs/>
          <w:sz w:val="32"/>
          <w:szCs w:val="32"/>
        </w:rPr>
      </w:pPr>
      <w:r>
        <w:rPr>
          <w:rFonts w:ascii="楷体_GB2312" w:eastAsia="楷体_GB2312" w:hint="eastAsia"/>
          <w:b/>
          <w:bCs/>
          <w:sz w:val="32"/>
          <w:szCs w:val="32"/>
        </w:rPr>
        <w:t>（二）部门主要职责</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锡林郭勒盟市场</w:t>
      </w:r>
      <w:r w:rsidR="00DB2253">
        <w:rPr>
          <w:rFonts w:ascii="微软雅黑" w:eastAsia="微软雅黑" w:hAnsi="微软雅黑" w:cs="微软雅黑" w:hint="eastAsia"/>
          <w:sz w:val="32"/>
          <w:szCs w:val="32"/>
        </w:rPr>
        <w:t>监</w:t>
      </w:r>
      <w:r>
        <w:rPr>
          <w:rFonts w:eastAsia="仿宋_GB2312" w:hint="eastAsia"/>
          <w:sz w:val="32"/>
          <w:szCs w:val="32"/>
        </w:rPr>
        <w:t>督管理局主要职责：</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、负责市场综合监督管理。贯彻落实国家和自治区有关市场监督管理方面的法律法规政策</w:t>
      </w:r>
      <w:r>
        <w:rPr>
          <w:rFonts w:eastAsia="仿宋_GB2312" w:hint="eastAsia"/>
          <w:sz w:val="32"/>
          <w:szCs w:val="32"/>
        </w:rPr>
        <w:t>,</w:t>
      </w:r>
      <w:r>
        <w:rPr>
          <w:rFonts w:eastAsia="仿宋_GB2312" w:hint="eastAsia"/>
          <w:sz w:val="32"/>
          <w:szCs w:val="32"/>
        </w:rPr>
        <w:t>研究制定具体的办法、措施并组织实施。组织实施质量强盟规划、食品安全发展规划和标准化发展规划</w:t>
      </w:r>
      <w:r>
        <w:rPr>
          <w:rFonts w:eastAsia="仿宋_GB2312" w:hint="eastAsia"/>
          <w:sz w:val="32"/>
          <w:szCs w:val="32"/>
        </w:rPr>
        <w:t>,</w:t>
      </w:r>
      <w:r>
        <w:rPr>
          <w:rFonts w:eastAsia="仿宋_GB2312" w:hint="eastAsia"/>
          <w:sz w:val="32"/>
          <w:szCs w:val="32"/>
        </w:rPr>
        <w:t>拟订并组织实施有关规划</w:t>
      </w:r>
      <w:r>
        <w:rPr>
          <w:rFonts w:eastAsia="仿宋_GB2312" w:hint="eastAsia"/>
          <w:sz w:val="32"/>
          <w:szCs w:val="32"/>
        </w:rPr>
        <w:t>,</w:t>
      </w:r>
      <w:r>
        <w:rPr>
          <w:rFonts w:eastAsia="仿宋_GB2312" w:hint="eastAsia"/>
          <w:sz w:val="32"/>
          <w:szCs w:val="32"/>
        </w:rPr>
        <w:t>规范和维护市场秩序</w:t>
      </w:r>
      <w:r>
        <w:rPr>
          <w:rFonts w:eastAsia="仿宋_GB2312" w:hint="eastAsia"/>
          <w:sz w:val="32"/>
          <w:szCs w:val="32"/>
        </w:rPr>
        <w:t>,</w:t>
      </w:r>
      <w:r>
        <w:rPr>
          <w:rFonts w:eastAsia="仿宋_GB2312" w:hint="eastAsia"/>
          <w:sz w:val="32"/>
          <w:szCs w:val="32"/>
        </w:rPr>
        <w:t>营造诚实守信、公平竞争的市场环境。</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、负责市场主体统一登记注册。指导各类企业、农牧民专业合作社和从事经营活动的单位、个体工商户以及授权范围内的外商投资企业等市场主体的登记注册工作。建立市场主体信息公示和共享机制</w:t>
      </w:r>
      <w:r>
        <w:rPr>
          <w:rFonts w:eastAsia="仿宋_GB2312" w:hint="eastAsia"/>
          <w:sz w:val="32"/>
          <w:szCs w:val="32"/>
        </w:rPr>
        <w:t>,</w:t>
      </w:r>
      <w:r>
        <w:rPr>
          <w:rFonts w:eastAsia="仿宋_GB2312" w:hint="eastAsia"/>
          <w:sz w:val="32"/>
          <w:szCs w:val="32"/>
        </w:rPr>
        <w:t>依法公示和共享有关信息</w:t>
      </w:r>
      <w:r>
        <w:rPr>
          <w:rFonts w:eastAsia="仿宋_GB2312" w:hint="eastAsia"/>
          <w:sz w:val="32"/>
          <w:szCs w:val="32"/>
        </w:rPr>
        <w:t>,</w:t>
      </w:r>
      <w:r>
        <w:rPr>
          <w:rFonts w:eastAsia="仿宋_GB2312" w:hint="eastAsia"/>
          <w:sz w:val="32"/>
          <w:szCs w:val="32"/>
        </w:rPr>
        <w:t>加强信用监管</w:t>
      </w:r>
      <w:r>
        <w:rPr>
          <w:rFonts w:eastAsia="仿宋_GB2312" w:hint="eastAsia"/>
          <w:sz w:val="32"/>
          <w:szCs w:val="32"/>
        </w:rPr>
        <w:t>,</w:t>
      </w:r>
      <w:r>
        <w:rPr>
          <w:rFonts w:eastAsia="仿宋_GB2312" w:hint="eastAsia"/>
          <w:sz w:val="32"/>
          <w:szCs w:val="32"/>
        </w:rPr>
        <w:t>推动市场主体信用体系建设。</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、负责组织和指导市场监管综合执法工作。指导全盟市场监管综合执法队伍整合和建设</w:t>
      </w:r>
      <w:r>
        <w:rPr>
          <w:rFonts w:eastAsia="仿宋_GB2312" w:hint="eastAsia"/>
          <w:sz w:val="32"/>
          <w:szCs w:val="32"/>
        </w:rPr>
        <w:t>,</w:t>
      </w:r>
      <w:r>
        <w:rPr>
          <w:rFonts w:eastAsia="仿宋_GB2312" w:hint="eastAsia"/>
          <w:sz w:val="32"/>
          <w:szCs w:val="32"/>
        </w:rPr>
        <w:t>推动实行统一的市场监管。依法组织查办重大违法案件</w:t>
      </w:r>
      <w:r>
        <w:rPr>
          <w:rFonts w:eastAsia="仿宋_GB2312" w:hint="eastAsia"/>
          <w:sz w:val="32"/>
          <w:szCs w:val="32"/>
        </w:rPr>
        <w:t>,</w:t>
      </w:r>
      <w:r>
        <w:rPr>
          <w:rFonts w:eastAsia="仿宋_GB2312" w:hint="eastAsia"/>
          <w:sz w:val="32"/>
          <w:szCs w:val="32"/>
        </w:rPr>
        <w:t>协调查办督办跨区域的违法案件。规范市场监管行政执法行为。</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、受上级市场监管部门委托对反垄断行为开展调查。</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lastRenderedPageBreak/>
        <w:t>5</w:t>
      </w:r>
      <w:r>
        <w:rPr>
          <w:rFonts w:eastAsia="仿宋_GB2312" w:hint="eastAsia"/>
          <w:sz w:val="32"/>
          <w:szCs w:val="32"/>
        </w:rPr>
        <w:t>、负责监督管理市场秩序。规范和维护市场秩序</w:t>
      </w:r>
      <w:r>
        <w:rPr>
          <w:rFonts w:eastAsia="仿宋_GB2312" w:hint="eastAsia"/>
          <w:sz w:val="32"/>
          <w:szCs w:val="32"/>
        </w:rPr>
        <w:t>,</w:t>
      </w:r>
      <w:r>
        <w:rPr>
          <w:rFonts w:eastAsia="仿宋_GB2312" w:hint="eastAsia"/>
          <w:sz w:val="32"/>
          <w:szCs w:val="32"/>
        </w:rPr>
        <w:t>依法监督管理市场交易、网络商品交易及有关服务的行为。组织指导查办价格收费违法违规、不正当竞争、违法直销、传销、侵犯商标专利知识产权和制售假冒伪劣行为。指导广告业发展</w:t>
      </w:r>
      <w:r>
        <w:rPr>
          <w:rFonts w:eastAsia="仿宋_GB2312" w:hint="eastAsia"/>
          <w:sz w:val="32"/>
          <w:szCs w:val="32"/>
        </w:rPr>
        <w:t>,</w:t>
      </w:r>
      <w:r>
        <w:rPr>
          <w:rFonts w:eastAsia="仿宋_GB2312" w:hint="eastAsia"/>
          <w:sz w:val="32"/>
          <w:szCs w:val="32"/>
        </w:rPr>
        <w:t>监督管理广告活动。指导查处无照生产经营和相关无证生产经营行为。</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、负责宏观质量管理。拟订并实施质量发展的制度措施</w:t>
      </w:r>
      <w:r>
        <w:rPr>
          <w:rFonts w:eastAsia="仿宋_GB2312" w:hint="eastAsia"/>
          <w:sz w:val="32"/>
          <w:szCs w:val="32"/>
        </w:rPr>
        <w:t>,</w:t>
      </w:r>
      <w:r>
        <w:rPr>
          <w:rFonts w:eastAsia="仿宋_GB2312" w:hint="eastAsia"/>
          <w:sz w:val="32"/>
          <w:szCs w:val="32"/>
        </w:rPr>
        <w:t>推进品牌发展战略。统筹质量基础设施建设与应用</w:t>
      </w:r>
      <w:r>
        <w:rPr>
          <w:rFonts w:eastAsia="仿宋_GB2312" w:hint="eastAsia"/>
          <w:sz w:val="32"/>
          <w:szCs w:val="32"/>
        </w:rPr>
        <w:t>,</w:t>
      </w:r>
      <w:r>
        <w:rPr>
          <w:rFonts w:eastAsia="仿宋_GB2312" w:hint="eastAsia"/>
          <w:sz w:val="32"/>
          <w:szCs w:val="32"/>
        </w:rPr>
        <w:t>会同有关部门组织实施工程设备质量监理制度</w:t>
      </w:r>
      <w:r>
        <w:rPr>
          <w:rFonts w:eastAsia="仿宋_GB2312" w:hint="eastAsia"/>
          <w:sz w:val="32"/>
          <w:szCs w:val="32"/>
        </w:rPr>
        <w:t>,</w:t>
      </w:r>
      <w:r>
        <w:rPr>
          <w:rFonts w:eastAsia="仿宋_GB2312" w:hint="eastAsia"/>
          <w:sz w:val="32"/>
          <w:szCs w:val="32"/>
        </w:rPr>
        <w:t>组织质量事故调查</w:t>
      </w:r>
      <w:r>
        <w:rPr>
          <w:rFonts w:eastAsia="仿宋_GB2312" w:hint="eastAsia"/>
          <w:sz w:val="32"/>
          <w:szCs w:val="32"/>
        </w:rPr>
        <w:t>,</w:t>
      </w:r>
      <w:r>
        <w:rPr>
          <w:rFonts w:eastAsia="仿宋_GB2312" w:hint="eastAsia"/>
          <w:sz w:val="32"/>
          <w:szCs w:val="32"/>
        </w:rPr>
        <w:t>组织实施本地区缺陷产品召回工作</w:t>
      </w:r>
      <w:r>
        <w:rPr>
          <w:rFonts w:eastAsia="仿宋_GB2312" w:hint="eastAsia"/>
          <w:sz w:val="32"/>
          <w:szCs w:val="32"/>
        </w:rPr>
        <w:t>,</w:t>
      </w:r>
      <w:r>
        <w:rPr>
          <w:rFonts w:eastAsia="仿宋_GB2312" w:hint="eastAsia"/>
          <w:sz w:val="32"/>
          <w:szCs w:val="32"/>
        </w:rPr>
        <w:t>监督管理产品防伪工作。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、按照管行业必须管安全、管业务必须管安全、管生产经营必须管安全的要求</w:t>
      </w:r>
      <w:r>
        <w:rPr>
          <w:rFonts w:eastAsia="仿宋_GB2312" w:hint="eastAsia"/>
          <w:sz w:val="32"/>
          <w:szCs w:val="32"/>
        </w:rPr>
        <w:t>,</w:t>
      </w:r>
      <w:r>
        <w:rPr>
          <w:rFonts w:eastAsia="仿宋_GB2312" w:hint="eastAsia"/>
          <w:sz w:val="32"/>
          <w:szCs w:val="32"/>
        </w:rPr>
        <w:t>履行安全生产责任制规定的职责。</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、负责产品质量安全监督管理。管理产品质量安全风险监控、监督抽查工作</w:t>
      </w:r>
      <w:r>
        <w:rPr>
          <w:rFonts w:eastAsia="仿宋_GB2312" w:hint="eastAsia"/>
          <w:sz w:val="32"/>
          <w:szCs w:val="32"/>
        </w:rPr>
        <w:t>,</w:t>
      </w:r>
      <w:r>
        <w:rPr>
          <w:rFonts w:eastAsia="仿宋_GB2312" w:hint="eastAsia"/>
          <w:sz w:val="32"/>
          <w:szCs w:val="32"/>
        </w:rPr>
        <w:t>统一编制并组织实施全盟产品质量监督抽查计划。负责组织实施质量分级制度</w:t>
      </w:r>
      <w:r>
        <w:rPr>
          <w:rFonts w:eastAsia="仿宋_GB2312" w:hint="eastAsia"/>
          <w:sz w:val="32"/>
          <w:szCs w:val="32"/>
        </w:rPr>
        <w:t>,</w:t>
      </w:r>
      <w:r>
        <w:rPr>
          <w:rFonts w:eastAsia="仿宋_GB2312" w:hint="eastAsia"/>
          <w:sz w:val="32"/>
          <w:szCs w:val="32"/>
        </w:rPr>
        <w:t>质量安全追溯制度。负责全盟工业产品生产许可证管理和纤维质量监督工作。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、负责特种设备安全监督管理。综合管理特种设备安全监察、监督工作</w:t>
      </w:r>
      <w:r>
        <w:rPr>
          <w:rFonts w:eastAsia="仿宋_GB2312" w:hint="eastAsia"/>
          <w:sz w:val="32"/>
          <w:szCs w:val="32"/>
        </w:rPr>
        <w:t>,</w:t>
      </w:r>
      <w:r>
        <w:rPr>
          <w:rFonts w:eastAsia="仿宋_GB2312" w:hint="eastAsia"/>
          <w:sz w:val="32"/>
          <w:szCs w:val="32"/>
        </w:rPr>
        <w:t>监督检查高耗能特种设备节能标准和锅炉环境保护标准的执行情况。</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、负责食品安全监督管理综合协调。组织拟订食品安全工作规划并组织实施。负责食品安全应急体系建设</w:t>
      </w:r>
      <w:r>
        <w:rPr>
          <w:rFonts w:eastAsia="仿宋_GB2312" w:hint="eastAsia"/>
          <w:sz w:val="32"/>
          <w:szCs w:val="32"/>
        </w:rPr>
        <w:t>,</w:t>
      </w:r>
      <w:r>
        <w:rPr>
          <w:rFonts w:eastAsia="仿宋_GB2312" w:hint="eastAsia"/>
          <w:sz w:val="32"/>
          <w:szCs w:val="32"/>
        </w:rPr>
        <w:t>组织指导重大食品安全事件应急处置和调查处理工作。建立健全食品安全重要信息直报制度。</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、负责食品安全监督管理。建立覆盖食品生产、流通、消费全过程的监督检查制度和隐患排查治理机制并组织实施</w:t>
      </w:r>
      <w:r>
        <w:rPr>
          <w:rFonts w:eastAsia="仿宋_GB2312" w:hint="eastAsia"/>
          <w:sz w:val="32"/>
          <w:szCs w:val="32"/>
        </w:rPr>
        <w:t>,</w:t>
      </w:r>
      <w:r>
        <w:rPr>
          <w:rFonts w:eastAsia="仿宋_GB2312" w:hint="eastAsia"/>
          <w:sz w:val="32"/>
          <w:szCs w:val="32"/>
        </w:rPr>
        <w:t>防范区域性、系</w:t>
      </w:r>
      <w:r>
        <w:rPr>
          <w:rFonts w:eastAsia="仿宋_GB2312" w:hint="eastAsia"/>
          <w:sz w:val="32"/>
          <w:szCs w:val="32"/>
        </w:rPr>
        <w:lastRenderedPageBreak/>
        <w:t>统性食品安全风险。推动建立食品生产经营者落实主体责任的机制</w:t>
      </w:r>
      <w:r>
        <w:rPr>
          <w:rFonts w:eastAsia="仿宋_GB2312" w:hint="eastAsia"/>
          <w:sz w:val="32"/>
          <w:szCs w:val="32"/>
        </w:rPr>
        <w:t>,</w:t>
      </w:r>
      <w:r>
        <w:rPr>
          <w:rFonts w:eastAsia="仿宋_GB2312" w:hint="eastAsia"/>
          <w:sz w:val="32"/>
          <w:szCs w:val="32"/>
        </w:rPr>
        <w:t>健全食品安全追溯体系。组织开展食品安全监督抽检、核查处置和风险预警、风险交流工作。组织实施食盐质量安全监管和特殊食品监管等工作。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12</w:t>
      </w:r>
      <w:r>
        <w:rPr>
          <w:rFonts w:eastAsia="仿宋_GB2312" w:hint="eastAsia"/>
          <w:sz w:val="32"/>
          <w:szCs w:val="32"/>
        </w:rPr>
        <w:t>、负责统一管理计量工作。落实国家计量制度</w:t>
      </w:r>
      <w:r>
        <w:rPr>
          <w:rFonts w:eastAsia="仿宋_GB2312" w:hint="eastAsia"/>
          <w:sz w:val="32"/>
          <w:szCs w:val="32"/>
        </w:rPr>
        <w:t>,</w:t>
      </w:r>
      <w:r>
        <w:rPr>
          <w:rFonts w:eastAsia="仿宋_GB2312" w:hint="eastAsia"/>
          <w:sz w:val="32"/>
          <w:szCs w:val="32"/>
        </w:rPr>
        <w:t>推行法定计量单位</w:t>
      </w:r>
      <w:r>
        <w:rPr>
          <w:rFonts w:eastAsia="仿宋_GB2312" w:hint="eastAsia"/>
          <w:sz w:val="32"/>
          <w:szCs w:val="32"/>
        </w:rPr>
        <w:t>,</w:t>
      </w:r>
      <w:r>
        <w:rPr>
          <w:rFonts w:eastAsia="仿宋_GB2312" w:hint="eastAsia"/>
          <w:sz w:val="32"/>
          <w:szCs w:val="32"/>
        </w:rPr>
        <w:t>管理计量器具及量值传递和比对工作。规范、监督商品量和市场计量行为。</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13</w:t>
      </w:r>
      <w:r>
        <w:rPr>
          <w:rFonts w:eastAsia="仿宋_GB2312" w:hint="eastAsia"/>
          <w:sz w:val="32"/>
          <w:szCs w:val="32"/>
        </w:rPr>
        <w:t>、负责统一管理和指导全盟标准化工作。依法承担锡盟地方标准的立项、编号、发布工作。组织开展国家标准、行业标准、地方标准的实施信息反馈和评估工作。依法协调指导和监督团体标准、企业标准制定和实施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14</w:t>
      </w:r>
      <w:r>
        <w:rPr>
          <w:rFonts w:eastAsia="仿宋_GB2312" w:hint="eastAsia"/>
          <w:sz w:val="32"/>
          <w:szCs w:val="32"/>
        </w:rPr>
        <w:t>、负责统一管理检验检测工作。推进检验检测机构改革</w:t>
      </w:r>
      <w:r>
        <w:rPr>
          <w:rFonts w:eastAsia="仿宋_GB2312" w:hint="eastAsia"/>
          <w:sz w:val="32"/>
          <w:szCs w:val="32"/>
        </w:rPr>
        <w:t>,</w:t>
      </w:r>
      <w:r>
        <w:rPr>
          <w:rFonts w:eastAsia="仿宋_GB2312" w:hint="eastAsia"/>
          <w:sz w:val="32"/>
          <w:szCs w:val="32"/>
        </w:rPr>
        <w:t>规范检验检测市场</w:t>
      </w:r>
      <w:r>
        <w:rPr>
          <w:rFonts w:eastAsia="仿宋_GB2312" w:hint="eastAsia"/>
          <w:sz w:val="32"/>
          <w:szCs w:val="32"/>
        </w:rPr>
        <w:t>,</w:t>
      </w:r>
      <w:r>
        <w:rPr>
          <w:rFonts w:eastAsia="仿宋_GB2312" w:hint="eastAsia"/>
          <w:sz w:val="32"/>
          <w:szCs w:val="32"/>
        </w:rPr>
        <w:t>完善检验检测体系</w:t>
      </w:r>
      <w:r>
        <w:rPr>
          <w:rFonts w:eastAsia="仿宋_GB2312" w:hint="eastAsia"/>
          <w:sz w:val="32"/>
          <w:szCs w:val="32"/>
        </w:rPr>
        <w:t>,</w:t>
      </w:r>
      <w:r>
        <w:rPr>
          <w:rFonts w:eastAsia="仿宋_GB2312" w:hint="eastAsia"/>
          <w:sz w:val="32"/>
          <w:szCs w:val="32"/>
        </w:rPr>
        <w:t>指导协调检验检测行业发展。</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15</w:t>
      </w:r>
      <w:r>
        <w:rPr>
          <w:rFonts w:eastAsia="仿宋_GB2312" w:hint="eastAsia"/>
          <w:sz w:val="32"/>
          <w:szCs w:val="32"/>
        </w:rPr>
        <w:t>、负责统一管理、监督和综合协调全盟认证认可工作。根据权限承担相关认证认可和合格评定监督管理等工作。按规定承担技术性贸易措施有关工作。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16</w:t>
      </w:r>
      <w:r>
        <w:rPr>
          <w:rFonts w:eastAsia="仿宋_GB2312" w:hint="eastAsia"/>
          <w:sz w:val="32"/>
          <w:szCs w:val="32"/>
        </w:rPr>
        <w:t>、负责全盟知识产权创造、运用、保护、管理和服务工作。拟订和组织实施知识产权战略</w:t>
      </w:r>
      <w:r>
        <w:rPr>
          <w:rFonts w:eastAsia="仿宋_GB2312" w:hint="eastAsia"/>
          <w:sz w:val="32"/>
          <w:szCs w:val="32"/>
        </w:rPr>
        <w:t>,</w:t>
      </w:r>
      <w:r>
        <w:rPr>
          <w:rFonts w:eastAsia="仿宋_GB2312" w:hint="eastAsia"/>
          <w:sz w:val="32"/>
          <w:szCs w:val="32"/>
        </w:rPr>
        <w:t>制定商标、专利、原产地地理标志、集成电路布图设计等有关知识产权的具体措施</w:t>
      </w:r>
      <w:r>
        <w:rPr>
          <w:rFonts w:eastAsia="仿宋_GB2312" w:hint="eastAsia"/>
          <w:sz w:val="32"/>
          <w:szCs w:val="32"/>
        </w:rPr>
        <w:t>,</w:t>
      </w:r>
      <w:r>
        <w:rPr>
          <w:rFonts w:eastAsia="仿宋_GB2312" w:hint="eastAsia"/>
          <w:sz w:val="32"/>
          <w:szCs w:val="32"/>
        </w:rPr>
        <w:t>推进知识产权强盟建设。</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17</w:t>
      </w:r>
      <w:r>
        <w:rPr>
          <w:rFonts w:eastAsia="仿宋_GB2312" w:hint="eastAsia"/>
          <w:sz w:val="32"/>
          <w:szCs w:val="32"/>
        </w:rPr>
        <w:t>、拟订知识产权保护体系建设方案并组织实施</w:t>
      </w:r>
      <w:r>
        <w:rPr>
          <w:rFonts w:eastAsia="仿宋_GB2312" w:hint="eastAsia"/>
          <w:sz w:val="32"/>
          <w:szCs w:val="32"/>
        </w:rPr>
        <w:t>,</w:t>
      </w:r>
      <w:r>
        <w:rPr>
          <w:rFonts w:eastAsia="仿宋_GB2312" w:hint="eastAsia"/>
          <w:sz w:val="32"/>
          <w:szCs w:val="32"/>
        </w:rPr>
        <w:t>促进知识产权运用</w:t>
      </w:r>
      <w:r>
        <w:rPr>
          <w:rFonts w:eastAsia="仿宋_GB2312" w:hint="eastAsia"/>
          <w:sz w:val="32"/>
          <w:szCs w:val="32"/>
        </w:rPr>
        <w:t>,</w:t>
      </w:r>
      <w:r>
        <w:rPr>
          <w:rFonts w:eastAsia="仿宋_GB2312" w:hint="eastAsia"/>
          <w:sz w:val="32"/>
          <w:szCs w:val="32"/>
        </w:rPr>
        <w:t>推进知识产权保护和信息公共服务体系建设。开展知识产权试点示范工作。管理知识产权专项资金</w:t>
      </w:r>
      <w:r>
        <w:rPr>
          <w:rFonts w:eastAsia="仿宋_GB2312" w:hint="eastAsia"/>
          <w:sz w:val="32"/>
          <w:szCs w:val="32"/>
        </w:rPr>
        <w:t>,</w:t>
      </w:r>
      <w:r>
        <w:rPr>
          <w:rFonts w:eastAsia="仿宋_GB2312" w:hint="eastAsia"/>
          <w:sz w:val="32"/>
          <w:szCs w:val="32"/>
        </w:rPr>
        <w:t>组织重大知识产权转化项目实施</w:t>
      </w:r>
      <w:r>
        <w:rPr>
          <w:rFonts w:eastAsia="仿宋_GB2312" w:hint="eastAsia"/>
          <w:sz w:val="32"/>
          <w:szCs w:val="32"/>
        </w:rPr>
        <w:t>,</w:t>
      </w:r>
      <w:r>
        <w:rPr>
          <w:rFonts w:eastAsia="仿宋_GB2312" w:hint="eastAsia"/>
          <w:sz w:val="32"/>
          <w:szCs w:val="32"/>
        </w:rPr>
        <w:t>促进知识产权转移转化。指导商标专利执法、知识产权争议处理、维权援</w:t>
      </w:r>
      <w:r>
        <w:rPr>
          <w:rFonts w:eastAsia="仿宋_GB2312" w:hint="eastAsia"/>
          <w:sz w:val="32"/>
          <w:szCs w:val="32"/>
        </w:rPr>
        <w:lastRenderedPageBreak/>
        <w:t>助和纠纷调处</w:t>
      </w:r>
      <w:r>
        <w:rPr>
          <w:rFonts w:eastAsia="仿宋_GB2312" w:hint="eastAsia"/>
          <w:sz w:val="32"/>
          <w:szCs w:val="32"/>
        </w:rPr>
        <w:t>,</w:t>
      </w:r>
      <w:r>
        <w:rPr>
          <w:rFonts w:eastAsia="仿宋_GB2312" w:hint="eastAsia"/>
          <w:sz w:val="32"/>
          <w:szCs w:val="32"/>
        </w:rPr>
        <w:t>依法查处知识产权违法行为。组织指导知识产权预警和涉外等工作。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18</w:t>
      </w:r>
      <w:r>
        <w:rPr>
          <w:rFonts w:eastAsia="仿宋_GB2312" w:hint="eastAsia"/>
          <w:sz w:val="32"/>
          <w:szCs w:val="32"/>
        </w:rPr>
        <w:t>、负责药品</w:t>
      </w:r>
      <w:r>
        <w:rPr>
          <w:rFonts w:eastAsia="仿宋_GB2312" w:hint="eastAsia"/>
          <w:sz w:val="32"/>
          <w:szCs w:val="32"/>
        </w:rPr>
        <w:t>(</w:t>
      </w:r>
      <w:r>
        <w:rPr>
          <w:rFonts w:eastAsia="仿宋_GB2312" w:hint="eastAsia"/>
          <w:sz w:val="32"/>
          <w:szCs w:val="32"/>
        </w:rPr>
        <w:t>含中药、蒙药等民族药</w:t>
      </w:r>
      <w:r>
        <w:rPr>
          <w:rFonts w:eastAsia="仿宋_GB2312" w:hint="eastAsia"/>
          <w:sz w:val="32"/>
          <w:szCs w:val="32"/>
        </w:rPr>
        <w:t>,</w:t>
      </w:r>
      <w:r>
        <w:rPr>
          <w:rFonts w:eastAsia="仿宋_GB2312" w:hint="eastAsia"/>
          <w:sz w:val="32"/>
          <w:szCs w:val="32"/>
        </w:rPr>
        <w:t>下同</w:t>
      </w:r>
      <w:r>
        <w:rPr>
          <w:rFonts w:eastAsia="仿宋_GB2312" w:hint="eastAsia"/>
          <w:sz w:val="32"/>
          <w:szCs w:val="32"/>
        </w:rPr>
        <w:t>)</w:t>
      </w:r>
      <w:r>
        <w:rPr>
          <w:rFonts w:eastAsia="仿宋_GB2312" w:hint="eastAsia"/>
          <w:sz w:val="32"/>
          <w:szCs w:val="32"/>
        </w:rPr>
        <w:t>、医疗器械和化妆品安全监督管理。按规定权限承担药品零售、医疗器械经营的许可、检查和处罚</w:t>
      </w:r>
      <w:r>
        <w:rPr>
          <w:rFonts w:eastAsia="仿宋_GB2312" w:hint="eastAsia"/>
          <w:sz w:val="32"/>
          <w:szCs w:val="32"/>
        </w:rPr>
        <w:t>,</w:t>
      </w:r>
      <w:r>
        <w:rPr>
          <w:rFonts w:eastAsia="仿宋_GB2312" w:hint="eastAsia"/>
          <w:sz w:val="32"/>
          <w:szCs w:val="32"/>
        </w:rPr>
        <w:t>以及化妆品经营和药品、医疗器械使用环节质量的检查和处罚。监督实施药品、医疗器械、化妆品标准和分类管理制度</w:t>
      </w:r>
      <w:r>
        <w:rPr>
          <w:rFonts w:eastAsia="仿宋_GB2312" w:hint="eastAsia"/>
          <w:sz w:val="32"/>
          <w:szCs w:val="32"/>
        </w:rPr>
        <w:t>,</w:t>
      </w:r>
      <w:r>
        <w:rPr>
          <w:rFonts w:eastAsia="仿宋_GB2312" w:hint="eastAsia"/>
          <w:sz w:val="32"/>
          <w:szCs w:val="32"/>
        </w:rPr>
        <w:t>配合实施国家基本药物制度。监督实施药品经营和医疗器械经营、使用质量管理规范。监督实施化妆品经营、使用卫生标准和技术规范。负责药品、医疗器械和化妆品监督检查</w:t>
      </w:r>
      <w:r>
        <w:rPr>
          <w:rFonts w:eastAsia="仿宋_GB2312" w:hint="eastAsia"/>
          <w:sz w:val="32"/>
          <w:szCs w:val="32"/>
        </w:rPr>
        <w:t>,</w:t>
      </w:r>
      <w:r>
        <w:rPr>
          <w:rFonts w:eastAsia="仿宋_GB2312" w:hint="eastAsia"/>
          <w:sz w:val="32"/>
          <w:szCs w:val="32"/>
        </w:rPr>
        <w:t>制定检查、监察、稽查制度并组织实施。组织开展药品、医疗器械和化妆品监督抽检和核查处置工作。组织开展药品、化妆品不良反应和医疗器械不良事件的监测、评价和处置工作。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19</w:t>
      </w:r>
      <w:r>
        <w:rPr>
          <w:rFonts w:eastAsia="仿宋_GB2312" w:hint="eastAsia"/>
          <w:sz w:val="32"/>
          <w:szCs w:val="32"/>
        </w:rPr>
        <w:t>、负责药学专业资格和执业药师继续教育管理工作。组织实施执业药师资格管理制度。依职责承担药学等相关专业技术职称评审工作。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20</w:t>
      </w:r>
      <w:r>
        <w:rPr>
          <w:rFonts w:eastAsia="仿宋_GB2312" w:hint="eastAsia"/>
          <w:sz w:val="32"/>
          <w:szCs w:val="32"/>
        </w:rPr>
        <w:t>、负责指导旗县市</w:t>
      </w:r>
      <w:r>
        <w:rPr>
          <w:rFonts w:eastAsia="仿宋_GB2312" w:hint="eastAsia"/>
          <w:sz w:val="32"/>
          <w:szCs w:val="32"/>
        </w:rPr>
        <w:t>(</w:t>
      </w:r>
      <w:r>
        <w:rPr>
          <w:rFonts w:eastAsia="仿宋_GB2312" w:hint="eastAsia"/>
          <w:sz w:val="32"/>
          <w:szCs w:val="32"/>
        </w:rPr>
        <w:t>区</w:t>
      </w:r>
      <w:r>
        <w:rPr>
          <w:rFonts w:eastAsia="仿宋_GB2312" w:hint="eastAsia"/>
          <w:sz w:val="32"/>
          <w:szCs w:val="32"/>
        </w:rPr>
        <w:t>)</w:t>
      </w:r>
      <w:r>
        <w:rPr>
          <w:rFonts w:eastAsia="仿宋_GB2312" w:hint="eastAsia"/>
          <w:sz w:val="32"/>
          <w:szCs w:val="32"/>
        </w:rPr>
        <w:t>开展药品、医疗器械和化妆品监督管理工作。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21</w:t>
      </w:r>
      <w:r>
        <w:rPr>
          <w:rFonts w:eastAsia="仿宋_GB2312" w:hint="eastAsia"/>
          <w:sz w:val="32"/>
          <w:szCs w:val="32"/>
        </w:rPr>
        <w:t>、负责市场监督管理科技和信息化建设、新闻宣传等工作。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22</w:t>
      </w:r>
      <w:r>
        <w:rPr>
          <w:rFonts w:eastAsia="仿宋_GB2312" w:hint="eastAsia"/>
          <w:sz w:val="32"/>
          <w:szCs w:val="32"/>
        </w:rPr>
        <w:t>、完成盟委、行署交办的其他任务。</w:t>
      </w:r>
    </w:p>
    <w:p w:rsidR="00E1719B" w:rsidRDefault="008429D3">
      <w:pPr>
        <w:numPr>
          <w:ilvl w:val="0"/>
          <w:numId w:val="2"/>
        </w:numPr>
        <w:spacing w:line="600" w:lineRule="atLeast"/>
        <w:ind w:leftChars="8" w:left="17" w:firstLineChars="195" w:firstLine="624"/>
        <w:outlineLvl w:val="0"/>
        <w:rPr>
          <w:rFonts w:eastAsia="黑体" w:cs="黑体"/>
          <w:sz w:val="32"/>
          <w:szCs w:val="36"/>
        </w:rPr>
      </w:pPr>
      <w:r>
        <w:rPr>
          <w:rFonts w:eastAsia="黑体" w:cs="黑体" w:hint="eastAsia"/>
          <w:sz w:val="32"/>
          <w:szCs w:val="36"/>
        </w:rPr>
        <w:t>部门（单位）机构设置及预算单位构成情况</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．根据单位职责分工，本单位内设机构包括锡林郭勒盟市场监督管理局，本单位内设机构包括办公室、人事科、规划财务科、政策法规科、执法监督科、登记注册科、信用监督管理科、网络交易和广告</w:t>
      </w:r>
      <w:r>
        <w:rPr>
          <w:rFonts w:eastAsia="仿宋_GB2312" w:hint="eastAsia"/>
          <w:sz w:val="32"/>
          <w:szCs w:val="32"/>
        </w:rPr>
        <w:lastRenderedPageBreak/>
        <w:t>监督管理科、价格监督检查和反不正当竞争局、知识产权发展保护科、食品生产安全监督管理科、食品流通安全监督管理科、餐饮服务监督管理科、食品药品安全协调与抽检监测科、药品安全监督管理科、药品化妆品流通监管科、医疗器械监督管理科、质量和认证认可监督管理科、特种设备安全监察局、产品质量安全监督管理科、计量和标准化科、小微企业个、体工商户专业市场党建工作办公室、机关党委。本单位无下属单位。</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．从预算单位构成看，纳入本单位</w:t>
      </w:r>
      <w:r>
        <w:rPr>
          <w:rFonts w:eastAsia="仿宋_GB2312" w:hint="eastAsia"/>
          <w:sz w:val="32"/>
          <w:szCs w:val="32"/>
        </w:rPr>
        <w:t>2024</w:t>
      </w:r>
      <w:r>
        <w:rPr>
          <w:rFonts w:eastAsia="仿宋_GB2312" w:hint="eastAsia"/>
          <w:sz w:val="32"/>
          <w:szCs w:val="32"/>
        </w:rPr>
        <w:t>年部门汇总预算编制范围的预算单位共计</w:t>
      </w:r>
      <w:r>
        <w:rPr>
          <w:rFonts w:eastAsia="仿宋_GB2312" w:hint="eastAsia"/>
          <w:sz w:val="32"/>
          <w:szCs w:val="32"/>
        </w:rPr>
        <w:t>1</w:t>
      </w:r>
      <w:r>
        <w:rPr>
          <w:rFonts w:eastAsia="仿宋_GB2312" w:hint="eastAsia"/>
          <w:sz w:val="32"/>
          <w:szCs w:val="32"/>
        </w:rPr>
        <w:t>家，具体包括：锡林郭勒盟市场监督管理局所属单位预算仅包括锡林郭勒盟市场监督管理局本级预算，局属事业单位预算独立编制。</w:t>
      </w:r>
    </w:p>
    <w:p w:rsidR="00E1719B" w:rsidRDefault="008429D3">
      <w:pPr>
        <w:widowControl/>
        <w:shd w:val="clear" w:color="auto" w:fill="FFFFFF"/>
        <w:spacing w:line="600" w:lineRule="atLeast"/>
        <w:ind w:firstLineChars="1200" w:firstLine="384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449" w:tblpY="552"/>
        <w:tblOverlap w:val="never"/>
        <w:tblW w:w="9347" w:type="dxa"/>
        <w:tblLayout w:type="fixed"/>
        <w:tblLook w:val="04A0" w:firstRow="1" w:lastRow="0" w:firstColumn="1" w:lastColumn="0" w:noHBand="0" w:noVBand="1"/>
      </w:tblPr>
      <w:tblGrid>
        <w:gridCol w:w="790"/>
        <w:gridCol w:w="5059"/>
        <w:gridCol w:w="3498"/>
      </w:tblGrid>
      <w:tr w:rsidR="00E1719B">
        <w:trPr>
          <w:trHeight w:val="595"/>
        </w:trPr>
        <w:tc>
          <w:tcPr>
            <w:tcW w:w="790" w:type="dxa"/>
            <w:tcBorders>
              <w:top w:val="single" w:sz="4" w:space="0" w:color="auto"/>
              <w:left w:val="single" w:sz="4" w:space="0" w:color="auto"/>
              <w:bottom w:val="single" w:sz="4" w:space="0" w:color="auto"/>
              <w:right w:val="single" w:sz="4" w:space="0" w:color="auto"/>
            </w:tcBorders>
            <w:vAlign w:val="center"/>
          </w:tcPr>
          <w:p w:rsidR="00E1719B" w:rsidRDefault="008429D3">
            <w:pPr>
              <w:widowControl/>
              <w:shd w:val="clear" w:color="auto" w:fill="FFFFFF"/>
              <w:spacing w:line="600" w:lineRule="atLeast"/>
              <w:rPr>
                <w:rFonts w:eastAsia="仿宋_GB2312"/>
                <w:sz w:val="28"/>
                <w:szCs w:val="28"/>
              </w:rPr>
            </w:pPr>
            <w:r>
              <w:rPr>
                <w:rFonts w:eastAsia="仿宋_GB2312" w:hint="eastAsia"/>
                <w:sz w:val="28"/>
                <w:szCs w:val="28"/>
              </w:rPr>
              <w:t>序号</w:t>
            </w:r>
          </w:p>
        </w:tc>
        <w:tc>
          <w:tcPr>
            <w:tcW w:w="5059" w:type="dxa"/>
            <w:tcBorders>
              <w:top w:val="single" w:sz="4" w:space="0" w:color="auto"/>
              <w:left w:val="nil"/>
              <w:bottom w:val="single" w:sz="4" w:space="0" w:color="auto"/>
              <w:right w:val="single" w:sz="4" w:space="0" w:color="auto"/>
            </w:tcBorders>
            <w:vAlign w:val="center"/>
          </w:tcPr>
          <w:p w:rsidR="00E1719B" w:rsidRDefault="008429D3">
            <w:pPr>
              <w:widowControl/>
              <w:shd w:val="clear" w:color="auto" w:fill="FFFFFF"/>
              <w:spacing w:line="600" w:lineRule="atLeast"/>
              <w:ind w:firstLineChars="200" w:firstLine="560"/>
              <w:rPr>
                <w:rFonts w:eastAsia="仿宋_GB2312"/>
                <w:sz w:val="28"/>
                <w:szCs w:val="28"/>
              </w:rPr>
            </w:pPr>
            <w:r>
              <w:rPr>
                <w:rFonts w:eastAsia="仿宋_GB2312" w:hint="eastAsia"/>
                <w:sz w:val="28"/>
                <w:szCs w:val="28"/>
              </w:rPr>
              <w:t>单位名称</w:t>
            </w:r>
          </w:p>
        </w:tc>
        <w:tc>
          <w:tcPr>
            <w:tcW w:w="3498" w:type="dxa"/>
            <w:tcBorders>
              <w:top w:val="single" w:sz="4" w:space="0" w:color="auto"/>
              <w:left w:val="nil"/>
              <w:bottom w:val="single" w:sz="4" w:space="0" w:color="auto"/>
              <w:right w:val="single" w:sz="4" w:space="0" w:color="auto"/>
            </w:tcBorders>
            <w:vAlign w:val="center"/>
          </w:tcPr>
          <w:p w:rsidR="00E1719B" w:rsidRDefault="008429D3">
            <w:pPr>
              <w:widowControl/>
              <w:shd w:val="clear" w:color="auto" w:fill="FFFFFF"/>
              <w:spacing w:line="600" w:lineRule="atLeast"/>
              <w:ind w:firstLineChars="200" w:firstLine="560"/>
              <w:rPr>
                <w:rFonts w:eastAsia="仿宋_GB2312"/>
                <w:sz w:val="28"/>
                <w:szCs w:val="28"/>
              </w:rPr>
            </w:pPr>
            <w:r>
              <w:rPr>
                <w:rFonts w:eastAsia="仿宋_GB2312" w:hint="eastAsia"/>
                <w:sz w:val="28"/>
                <w:szCs w:val="28"/>
              </w:rPr>
              <w:t>单位性质</w:t>
            </w:r>
          </w:p>
        </w:tc>
      </w:tr>
      <w:tr w:rsidR="00E1719B">
        <w:trPr>
          <w:trHeight w:val="555"/>
        </w:trPr>
        <w:tc>
          <w:tcPr>
            <w:tcW w:w="790" w:type="dxa"/>
            <w:tcBorders>
              <w:top w:val="nil"/>
              <w:left w:val="single" w:sz="4" w:space="0" w:color="auto"/>
              <w:bottom w:val="single" w:sz="4" w:space="0" w:color="auto"/>
              <w:right w:val="single" w:sz="4" w:space="0" w:color="auto"/>
            </w:tcBorders>
            <w:vAlign w:val="center"/>
          </w:tcPr>
          <w:p w:rsidR="00E1719B" w:rsidRDefault="008429D3">
            <w:pPr>
              <w:widowControl/>
              <w:shd w:val="clear" w:color="auto" w:fill="FFFFFF"/>
              <w:spacing w:line="600" w:lineRule="atLeast"/>
              <w:ind w:firstLineChars="100" w:firstLine="280"/>
              <w:rPr>
                <w:rFonts w:eastAsia="仿宋_GB2312"/>
                <w:sz w:val="28"/>
                <w:szCs w:val="28"/>
              </w:rPr>
            </w:pPr>
            <w:r>
              <w:rPr>
                <w:rFonts w:eastAsia="仿宋_GB2312" w:hint="eastAsia"/>
                <w:sz w:val="28"/>
                <w:szCs w:val="28"/>
              </w:rPr>
              <w:t>1</w:t>
            </w:r>
          </w:p>
        </w:tc>
        <w:tc>
          <w:tcPr>
            <w:tcW w:w="5059" w:type="dxa"/>
            <w:tcBorders>
              <w:top w:val="nil"/>
              <w:left w:val="nil"/>
              <w:bottom w:val="single" w:sz="4" w:space="0" w:color="auto"/>
              <w:right w:val="single" w:sz="4" w:space="0" w:color="auto"/>
            </w:tcBorders>
            <w:vAlign w:val="center"/>
          </w:tcPr>
          <w:p w:rsidR="00E1719B" w:rsidRDefault="008429D3">
            <w:pPr>
              <w:widowControl/>
              <w:shd w:val="clear" w:color="auto" w:fill="FFFFFF"/>
              <w:spacing w:line="600" w:lineRule="atLeast"/>
              <w:ind w:firstLineChars="200" w:firstLine="560"/>
              <w:rPr>
                <w:rFonts w:eastAsia="仿宋_GB2312"/>
                <w:sz w:val="28"/>
                <w:szCs w:val="28"/>
              </w:rPr>
            </w:pPr>
            <w:r>
              <w:rPr>
                <w:rFonts w:eastAsia="仿宋_GB2312" w:hint="eastAsia"/>
                <w:sz w:val="28"/>
                <w:szCs w:val="28"/>
              </w:rPr>
              <w:t>锡林郭勒盟市场监督管理局（部门）</w:t>
            </w:r>
          </w:p>
        </w:tc>
        <w:tc>
          <w:tcPr>
            <w:tcW w:w="3498" w:type="dxa"/>
            <w:tcBorders>
              <w:top w:val="nil"/>
              <w:left w:val="nil"/>
              <w:bottom w:val="single" w:sz="4" w:space="0" w:color="auto"/>
              <w:right w:val="single" w:sz="4" w:space="0" w:color="auto"/>
            </w:tcBorders>
            <w:vAlign w:val="center"/>
          </w:tcPr>
          <w:p w:rsidR="00E1719B" w:rsidRDefault="008429D3">
            <w:pPr>
              <w:widowControl/>
              <w:shd w:val="clear" w:color="auto" w:fill="FFFFFF"/>
              <w:spacing w:line="600" w:lineRule="atLeast"/>
              <w:ind w:firstLineChars="200" w:firstLine="560"/>
              <w:rPr>
                <w:rFonts w:eastAsia="仿宋_GB2312"/>
                <w:sz w:val="28"/>
                <w:szCs w:val="28"/>
              </w:rPr>
            </w:pPr>
            <w:r>
              <w:rPr>
                <w:rFonts w:eastAsia="仿宋_GB2312" w:hint="eastAsia"/>
                <w:sz w:val="28"/>
                <w:szCs w:val="28"/>
              </w:rPr>
              <w:t>财政拨款的行政单位</w:t>
            </w:r>
          </w:p>
        </w:tc>
      </w:tr>
      <w:tr w:rsidR="00E1719B">
        <w:trPr>
          <w:trHeight w:val="814"/>
        </w:trPr>
        <w:tc>
          <w:tcPr>
            <w:tcW w:w="790" w:type="dxa"/>
            <w:tcBorders>
              <w:top w:val="nil"/>
              <w:left w:val="single" w:sz="4" w:space="0" w:color="auto"/>
              <w:bottom w:val="single" w:sz="4" w:space="0" w:color="auto"/>
              <w:right w:val="single" w:sz="4" w:space="0" w:color="auto"/>
            </w:tcBorders>
            <w:vAlign w:val="center"/>
          </w:tcPr>
          <w:p w:rsidR="00E1719B" w:rsidRDefault="008429D3">
            <w:pPr>
              <w:widowControl/>
              <w:shd w:val="clear" w:color="auto" w:fill="FFFFFF"/>
              <w:spacing w:line="600" w:lineRule="atLeast"/>
              <w:ind w:firstLineChars="100" w:firstLine="280"/>
              <w:rPr>
                <w:rFonts w:eastAsia="仿宋_GB2312"/>
                <w:sz w:val="28"/>
                <w:szCs w:val="28"/>
              </w:rPr>
            </w:pPr>
            <w:r>
              <w:rPr>
                <w:rFonts w:eastAsia="仿宋_GB2312" w:hint="eastAsia"/>
                <w:sz w:val="28"/>
                <w:szCs w:val="28"/>
              </w:rPr>
              <w:t>2</w:t>
            </w:r>
          </w:p>
        </w:tc>
        <w:tc>
          <w:tcPr>
            <w:tcW w:w="5059" w:type="dxa"/>
            <w:tcBorders>
              <w:top w:val="nil"/>
              <w:left w:val="nil"/>
              <w:bottom w:val="single" w:sz="4" w:space="0" w:color="auto"/>
              <w:right w:val="single" w:sz="4" w:space="0" w:color="auto"/>
            </w:tcBorders>
            <w:vAlign w:val="center"/>
          </w:tcPr>
          <w:p w:rsidR="00E1719B" w:rsidRDefault="008429D3">
            <w:pPr>
              <w:widowControl/>
              <w:shd w:val="clear" w:color="auto" w:fill="FFFFFF"/>
              <w:spacing w:line="600" w:lineRule="atLeast"/>
              <w:ind w:firstLineChars="200" w:firstLine="560"/>
              <w:rPr>
                <w:rFonts w:eastAsia="仿宋_GB2312"/>
                <w:sz w:val="28"/>
                <w:szCs w:val="28"/>
              </w:rPr>
            </w:pPr>
            <w:r>
              <w:rPr>
                <w:rFonts w:eastAsia="仿宋_GB2312" w:hint="eastAsia"/>
                <w:sz w:val="28"/>
                <w:szCs w:val="28"/>
              </w:rPr>
              <w:t>锡林郭勒盟市场监督管理局（本级）</w:t>
            </w:r>
          </w:p>
        </w:tc>
        <w:tc>
          <w:tcPr>
            <w:tcW w:w="3498" w:type="dxa"/>
            <w:tcBorders>
              <w:top w:val="nil"/>
              <w:left w:val="nil"/>
              <w:bottom w:val="single" w:sz="4" w:space="0" w:color="auto"/>
              <w:right w:val="single" w:sz="4" w:space="0" w:color="auto"/>
            </w:tcBorders>
            <w:vAlign w:val="center"/>
          </w:tcPr>
          <w:p w:rsidR="00E1719B" w:rsidRDefault="008429D3">
            <w:pPr>
              <w:widowControl/>
              <w:shd w:val="clear" w:color="auto" w:fill="FFFFFF"/>
              <w:spacing w:line="600" w:lineRule="atLeast"/>
              <w:ind w:firstLineChars="200" w:firstLine="560"/>
              <w:rPr>
                <w:rFonts w:eastAsia="仿宋_GB2312"/>
                <w:sz w:val="28"/>
                <w:szCs w:val="28"/>
              </w:rPr>
            </w:pPr>
            <w:r>
              <w:rPr>
                <w:rFonts w:eastAsia="仿宋_GB2312" w:hint="eastAsia"/>
                <w:sz w:val="28"/>
                <w:szCs w:val="28"/>
              </w:rPr>
              <w:t>财政拨款的行政单位</w:t>
            </w:r>
          </w:p>
        </w:tc>
      </w:tr>
    </w:tbl>
    <w:p w:rsidR="00E1719B" w:rsidRDefault="00E1719B">
      <w:pPr>
        <w:pStyle w:val="2"/>
        <w:spacing w:line="600" w:lineRule="atLeast"/>
        <w:rPr>
          <w:rFonts w:hint="default"/>
          <w:sz w:val="28"/>
          <w:szCs w:val="28"/>
        </w:rPr>
      </w:pPr>
    </w:p>
    <w:p w:rsidR="00E1719B" w:rsidRDefault="008429D3">
      <w:pPr>
        <w:spacing w:line="600" w:lineRule="atLeast"/>
        <w:ind w:firstLineChars="200" w:firstLine="640"/>
        <w:rPr>
          <w:rFonts w:eastAsia="黑体" w:cs="黑体"/>
          <w:sz w:val="32"/>
          <w:szCs w:val="36"/>
        </w:rPr>
      </w:pPr>
      <w:r>
        <w:rPr>
          <w:rFonts w:eastAsia="黑体" w:cs="黑体" w:hint="eastAsia"/>
          <w:sz w:val="32"/>
          <w:szCs w:val="36"/>
        </w:rPr>
        <w:t>三、</w:t>
      </w:r>
      <w:r>
        <w:rPr>
          <w:rFonts w:eastAsia="黑体" w:cs="黑体" w:hint="eastAsia"/>
          <w:sz w:val="32"/>
          <w:szCs w:val="36"/>
        </w:rPr>
        <w:t>2024</w:t>
      </w:r>
      <w:r>
        <w:rPr>
          <w:rFonts w:eastAsia="黑体" w:cs="黑体" w:hint="eastAsia"/>
          <w:sz w:val="32"/>
          <w:szCs w:val="36"/>
        </w:rPr>
        <w:t>年单位主要工作任务及目标</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我局将以习近平新时代中国特色社会主义思想为指导，深入贯彻落实习近平总书记考察内蒙古时的重要指示重要讲话精神，以铸牢中华民族共同体意识为主线，把握高质量发展这个首要任务，</w:t>
      </w:r>
      <w:r>
        <w:rPr>
          <w:rFonts w:eastAsia="仿宋_GB2312"/>
          <w:sz w:val="32"/>
          <w:szCs w:val="32"/>
        </w:rPr>
        <w:t>锚定</w:t>
      </w:r>
      <w:r>
        <w:rPr>
          <w:rFonts w:eastAsia="仿宋_GB2312" w:hint="eastAsia"/>
          <w:sz w:val="32"/>
          <w:szCs w:val="32"/>
        </w:rPr>
        <w:t>我区“闯新路、进中游”目标</w:t>
      </w:r>
      <w:r>
        <w:rPr>
          <w:rFonts w:eastAsia="仿宋_GB2312"/>
          <w:sz w:val="32"/>
          <w:szCs w:val="32"/>
        </w:rPr>
        <w:t>，</w:t>
      </w:r>
      <w:r>
        <w:rPr>
          <w:rFonts w:eastAsia="仿宋_GB2312" w:hint="eastAsia"/>
          <w:sz w:val="32"/>
          <w:szCs w:val="32"/>
        </w:rPr>
        <w:t>聚焦“一条主线、两个战略、三个监管、</w:t>
      </w:r>
      <w:r>
        <w:rPr>
          <w:rFonts w:eastAsia="仿宋_GB2312" w:hint="eastAsia"/>
          <w:sz w:val="32"/>
          <w:szCs w:val="32"/>
        </w:rPr>
        <w:lastRenderedPageBreak/>
        <w:t>四个安全、五件实事”，在完成好习近平总书记交给内蒙古两件大事上彰显市场监管部门新担当新作为（注：“一条主线、两个战略、三个监管、四个安全、五件实事”是指：重点围绕铸牢中华民族共同体意识</w:t>
      </w:r>
      <w:r>
        <w:rPr>
          <w:rFonts w:eastAsia="仿宋_GB2312" w:hint="eastAsia"/>
          <w:sz w:val="32"/>
          <w:szCs w:val="32"/>
        </w:rPr>
        <w:t>1</w:t>
      </w:r>
      <w:r>
        <w:rPr>
          <w:rFonts w:eastAsia="仿宋_GB2312" w:hint="eastAsia"/>
          <w:sz w:val="32"/>
          <w:szCs w:val="32"/>
        </w:rPr>
        <w:t>条主线，持续推进质量强盟和知识产权强盟</w:t>
      </w:r>
      <w:r>
        <w:rPr>
          <w:rFonts w:eastAsia="仿宋_GB2312" w:hint="eastAsia"/>
          <w:sz w:val="32"/>
          <w:szCs w:val="32"/>
        </w:rPr>
        <w:t>2</w:t>
      </w:r>
      <w:r>
        <w:rPr>
          <w:rFonts w:eastAsia="仿宋_GB2312" w:hint="eastAsia"/>
          <w:sz w:val="32"/>
          <w:szCs w:val="32"/>
        </w:rPr>
        <w:t>个战略，深入推进法治监管、信用监管、智慧监管</w:t>
      </w:r>
      <w:r>
        <w:rPr>
          <w:rFonts w:eastAsia="仿宋_GB2312" w:hint="eastAsia"/>
          <w:sz w:val="32"/>
          <w:szCs w:val="32"/>
        </w:rPr>
        <w:t>3</w:t>
      </w:r>
      <w:r>
        <w:rPr>
          <w:rFonts w:eastAsia="仿宋_GB2312" w:hint="eastAsia"/>
          <w:sz w:val="32"/>
          <w:szCs w:val="32"/>
        </w:rPr>
        <w:t>个监管，守牢食品、药品、特种设备、重要工业产品</w:t>
      </w:r>
      <w:r>
        <w:rPr>
          <w:rFonts w:eastAsia="仿宋_GB2312" w:hint="eastAsia"/>
          <w:sz w:val="32"/>
          <w:szCs w:val="32"/>
        </w:rPr>
        <w:t>4</w:t>
      </w:r>
      <w:r>
        <w:rPr>
          <w:rFonts w:eastAsia="仿宋_GB2312" w:hint="eastAsia"/>
          <w:sz w:val="32"/>
          <w:szCs w:val="32"/>
        </w:rPr>
        <w:t>大领域安全底线，扎实开展国家食品安全示范城市创建、持续优化市场监管领域营商环境、认真落实扶持小微企业个体工商户三年成长计划、深入开展市场监管领域“公平公正、安全放心”守护行动、扎实推进市场监管系统行风建设三年攻坚行动</w:t>
      </w:r>
      <w:r>
        <w:rPr>
          <w:rFonts w:eastAsia="仿宋_GB2312" w:hint="eastAsia"/>
          <w:sz w:val="32"/>
          <w:szCs w:val="32"/>
        </w:rPr>
        <w:t>5</w:t>
      </w:r>
      <w:r>
        <w:rPr>
          <w:rFonts w:eastAsia="仿宋_GB2312" w:hint="eastAsia"/>
          <w:sz w:val="32"/>
          <w:szCs w:val="32"/>
        </w:rPr>
        <w:t>件实事）。</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（一）始终将铸牢中华民族共同体意识贯穿市场监管工作全过程</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坚持和加强党的全面领导，推动党建和党风廉政建设与业务深度融合，切实把党的政治优势、组织优势和群众工作优势转化为市场监管事业高质量发展优势。始终胸怀“两个大局”，牢记“国之大者”，将铸牢中华民族共同体意识这条主线贯穿市场监管工作全过程，自觉把市场监管工作放到把握新发展阶段、贯彻新发展理念、构建新发展格局的历史进程中去思考和谋划。始终在思想上政治上行动上同以习近平同志为核心的党中央保持高度一致，自觉把增强“四个意识”、坚定“四个自信”、做到“两个维护”落实到具体工作和实际行动中，体现到建设高标准市场体系、强化高水平安全保障、构建高效能监管格局、全力服务锡盟高质量发展的成效上。</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（二）持续推进质量强盟战略和知识产权强盟战略实施</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lastRenderedPageBreak/>
        <w:t>一是深入推进质量强盟战略实施。积极组织我盟优势企业申报“蒙字标”认证，持续推荐我盟奶皮子、黄油等特色产品开展“蒙”字标标准研制，持续提升“蒙”字标认证企业的质量管理水平，让质量为品牌增值，让品牌为质量赋能。扎实推进政务服务、养老服务（西苏）、物业服务（锡林浩特市）、美丽乡村（多伦、白旗）、旅游服务（乌拉盖）等领域标准化试点创建工作，按照序时进度要求做好标准制修订工作，力争制定、发布一批地方特色明显、辐射指导作用突出的地方标准。深入推进“小微企业质量管理体系认证升级行动”，加强质量基础设施一站式服务能力建设。</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持续推进知识产权强盟战略实施。聚焦我盟基础条件好、有挖掘潜力优势的蒙古马、华西牛、锡林郭勒羊等畜牧产业领域和相关知识产权重点企业，建立以企业为主体，市场为导向的高质量创造机制，围绕我盟畜牧产业领域“增品种、提品质、创品牌”要求，探索建立加强锡林郭勒盟品牌建设新举措，完善品牌培育激励机制，开展品牌价值评价和品牌提升行动。探索制定《锡林郭勒盟品牌建设工程行动计划》，实施锡林郭勒盟品牌梯次培育计划，瞄准国内领先、国际一流，引导企业在拳头产品上深耕细作，在品牌竞争上精准发力，向品牌要效益、要形象。同时，大力开展知识产权质押融资工作，促进知识产权与金融资源深入融合。加大知识产权全链条保护力度，严厉打击非正常专利申请和商标恶意注册行为，开展地理标志保护行动，联合相关部门在全盟营造尊重知识产权、崇尚知识产权、保护知识产权的浓厚氛围。</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（三）深入推进法治监管、信用监管、智慧监管</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lastRenderedPageBreak/>
        <w:t>一是坚持“三种监管”协同推进。坚持权责法定、依法行政，探索融合法治监管、信用监管、智慧监管。落实“谁执法谁普法”责任制，严格执行行政执法三项制度，实现行政执法全面监督、全面规范。推进“双随机、一公开”监管全覆盖、常态化，部门“双随机、一公开”联合抽查率不低于</w:t>
      </w:r>
      <w:r>
        <w:rPr>
          <w:rFonts w:eastAsia="仿宋_GB2312" w:hint="eastAsia"/>
          <w:sz w:val="32"/>
          <w:szCs w:val="32"/>
        </w:rPr>
        <w:t>70%</w:t>
      </w:r>
      <w:r>
        <w:rPr>
          <w:rFonts w:eastAsia="仿宋_GB2312" w:hint="eastAsia"/>
          <w:sz w:val="32"/>
          <w:szCs w:val="32"/>
        </w:rPr>
        <w:t>，实现“进一次门，查多项事”。探索建立市场主体信用合规指引，将信用承诺在事中事后监管环节广泛运用，用制度建设有效规避失信风险。综合运用法治监管、信用监管、智慧监管、价格监管和包容审慎监管，构建横向到边、纵向到底全域监管新模式，全力维护良好市场秩序。</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推进监管执法贯通衔接。立足市场监管领域各领域专项执法行动，进一步建立健全信息通报、案件移交、执法反馈等协调机制，细化任务分工，明确责任部门，压实工作责任，集中力量查办一批重大案件，形成有效震慑，凝聚社会效应。同时，广泛收集全系统在重点工作中具有典型指导意义的典型案件，发挥创新成果和典型经验示范带动作用，指导案件查办工作。</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三是提升“智慧监管”和检验检测能力。在全面应用自治区市场监管领域风控管控系统的基础上，鼓励各地结合实际积极争取专项资金，探索开展“互联网</w:t>
      </w:r>
      <w:r>
        <w:rPr>
          <w:rFonts w:eastAsia="仿宋_GB2312" w:hint="eastAsia"/>
          <w:sz w:val="32"/>
          <w:szCs w:val="32"/>
        </w:rPr>
        <w:t>+</w:t>
      </w:r>
      <w:r>
        <w:rPr>
          <w:rFonts w:eastAsia="仿宋_GB2312" w:hint="eastAsia"/>
          <w:sz w:val="32"/>
          <w:szCs w:val="32"/>
        </w:rPr>
        <w:t>监管”新模式，提升智慧化监管能力，扎实推进数字化赋能市场监管新路径。组织开展检验检测机构能力提升验证，</w:t>
      </w:r>
      <w:r>
        <w:rPr>
          <w:rFonts w:eastAsia="仿宋_GB2312" w:hint="eastAsia"/>
          <w:sz w:val="32"/>
          <w:szCs w:val="32"/>
        </w:rPr>
        <w:t>2024</w:t>
      </w:r>
      <w:r>
        <w:rPr>
          <w:rFonts w:eastAsia="仿宋_GB2312" w:hint="eastAsia"/>
          <w:sz w:val="32"/>
          <w:szCs w:val="32"/>
        </w:rPr>
        <w:t>年底力争达到</w:t>
      </w:r>
      <w:r>
        <w:rPr>
          <w:rFonts w:eastAsia="仿宋_GB2312" w:hint="eastAsia"/>
          <w:sz w:val="32"/>
          <w:szCs w:val="32"/>
        </w:rPr>
        <w:t>28</w:t>
      </w:r>
      <w:r>
        <w:rPr>
          <w:rFonts w:eastAsia="仿宋_GB2312" w:hint="eastAsia"/>
          <w:sz w:val="32"/>
          <w:szCs w:val="32"/>
        </w:rPr>
        <w:t>项社会公用计量标准要求。推进出租车计价器检定场地重新规划改造项目，扩建出租车计价器检定场地，建设标准化计量检定室。建立大型地衡计量检定标准，用于大量程电子汽车衡的检定，以满足煤矿、电力、油田等大型生产企业的需求。购置新型</w:t>
      </w:r>
      <w:r>
        <w:rPr>
          <w:rFonts w:eastAsia="仿宋_GB2312" w:hint="eastAsia"/>
          <w:sz w:val="32"/>
          <w:szCs w:val="32"/>
        </w:rPr>
        <w:lastRenderedPageBreak/>
        <w:t>燃气表检定装置，以提升燃气表检定效率和精准度，保障居民用气安全。</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（四）守牢食品、药品、特种设备、重要工业产品领域安全底线</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一是强化食品安全党政同责。年内组织召开</w:t>
      </w:r>
      <w:r>
        <w:rPr>
          <w:rFonts w:eastAsia="仿宋_GB2312" w:hint="eastAsia"/>
          <w:sz w:val="32"/>
          <w:szCs w:val="32"/>
        </w:rPr>
        <w:t>2</w:t>
      </w:r>
      <w:r>
        <w:rPr>
          <w:rFonts w:eastAsia="仿宋_GB2312" w:hint="eastAsia"/>
          <w:sz w:val="32"/>
          <w:szCs w:val="32"/>
        </w:rPr>
        <w:t>次全盟食品药品安全委员会会议，持续开展食品安全“两个责任”落实，推进食品安全责任保险工作，强化日常监管和专项执法。</w:t>
      </w:r>
      <w:r>
        <w:rPr>
          <w:rFonts w:eastAsia="仿宋_GB2312" w:hint="eastAsia"/>
          <w:sz w:val="32"/>
          <w:szCs w:val="32"/>
        </w:rPr>
        <w:t>2024</w:t>
      </w:r>
      <w:r>
        <w:rPr>
          <w:rFonts w:eastAsia="仿宋_GB2312" w:hint="eastAsia"/>
          <w:sz w:val="32"/>
          <w:szCs w:val="32"/>
        </w:rPr>
        <w:t>年计划抽检食品</w:t>
      </w:r>
      <w:r>
        <w:rPr>
          <w:rFonts w:eastAsia="仿宋_GB2312" w:hint="eastAsia"/>
          <w:sz w:val="32"/>
          <w:szCs w:val="32"/>
        </w:rPr>
        <w:t>4450</w:t>
      </w:r>
      <w:r>
        <w:rPr>
          <w:rFonts w:eastAsia="仿宋_GB2312" w:hint="eastAsia"/>
          <w:sz w:val="32"/>
          <w:szCs w:val="32"/>
        </w:rPr>
        <w:t>批次，抽检量达到</w:t>
      </w:r>
      <w:r>
        <w:rPr>
          <w:rFonts w:eastAsia="仿宋_GB2312" w:hint="eastAsia"/>
          <w:sz w:val="32"/>
          <w:szCs w:val="32"/>
        </w:rPr>
        <w:t>4</w:t>
      </w:r>
      <w:r>
        <w:rPr>
          <w:rFonts w:eastAsia="仿宋_GB2312" w:hint="eastAsia"/>
          <w:sz w:val="32"/>
          <w:szCs w:val="32"/>
        </w:rPr>
        <w:t>批次</w:t>
      </w:r>
      <w:r>
        <w:rPr>
          <w:rFonts w:eastAsia="仿宋_GB2312" w:hint="eastAsia"/>
          <w:sz w:val="32"/>
          <w:szCs w:val="32"/>
        </w:rPr>
        <w:t>/</w:t>
      </w:r>
      <w:r>
        <w:rPr>
          <w:rFonts w:eastAsia="仿宋_GB2312" w:hint="eastAsia"/>
          <w:sz w:val="32"/>
          <w:szCs w:val="32"/>
        </w:rPr>
        <w:t>千人，不合格率达到</w:t>
      </w:r>
      <w:r>
        <w:rPr>
          <w:rFonts w:eastAsia="仿宋_GB2312" w:hint="eastAsia"/>
          <w:sz w:val="32"/>
          <w:szCs w:val="32"/>
        </w:rPr>
        <w:t>3%</w:t>
      </w:r>
      <w:r>
        <w:rPr>
          <w:rFonts w:eastAsia="仿宋_GB2312" w:hint="eastAsia"/>
          <w:sz w:val="32"/>
          <w:szCs w:val="32"/>
        </w:rPr>
        <w:t>以上，风险监测合格率达到</w:t>
      </w:r>
      <w:r>
        <w:rPr>
          <w:rFonts w:eastAsia="仿宋_GB2312" w:hint="eastAsia"/>
          <w:sz w:val="32"/>
          <w:szCs w:val="32"/>
        </w:rPr>
        <w:t>98%</w:t>
      </w:r>
      <w:r>
        <w:rPr>
          <w:rFonts w:eastAsia="仿宋_GB2312" w:hint="eastAsia"/>
          <w:sz w:val="32"/>
          <w:szCs w:val="32"/>
        </w:rPr>
        <w:t>以上。</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强化药品安全巩固提升。深入排查药品安全风险隐患，持续加强基层药品监管能力建设，强化全链条、事前事中事后全过程、线上线下一体化监管，全方位筑牢药品安全底线。督促指导全盟扎实开展医疗器械经营分级监管工作，确保监管覆盖率。深入研判化妆品流通领域安全风险，着力防范关键环节、重点品种的风险发生。</w:t>
      </w:r>
      <w:r>
        <w:rPr>
          <w:rFonts w:eastAsia="仿宋_GB2312"/>
          <w:sz w:val="32"/>
          <w:szCs w:val="32"/>
          <w:lang w:val="en"/>
        </w:rPr>
        <w:t>积极开展</w:t>
      </w:r>
      <w:r>
        <w:rPr>
          <w:rFonts w:eastAsia="仿宋_GB2312" w:hint="eastAsia"/>
          <w:sz w:val="32"/>
          <w:szCs w:val="32"/>
          <w:lang w:val="en"/>
        </w:rPr>
        <w:t>“</w:t>
      </w:r>
      <w:r>
        <w:rPr>
          <w:rFonts w:eastAsia="仿宋_GB2312" w:hint="eastAsia"/>
          <w:sz w:val="32"/>
          <w:szCs w:val="32"/>
        </w:rPr>
        <w:t>两品一械</w:t>
      </w:r>
      <w:r>
        <w:rPr>
          <w:rFonts w:eastAsia="仿宋_GB2312" w:hint="eastAsia"/>
          <w:sz w:val="32"/>
          <w:szCs w:val="32"/>
          <w:lang w:val="en"/>
        </w:rPr>
        <w:t>”</w:t>
      </w:r>
      <w:r>
        <w:rPr>
          <w:rFonts w:eastAsia="仿宋_GB2312" w:hint="eastAsia"/>
          <w:sz w:val="32"/>
          <w:szCs w:val="32"/>
        </w:rPr>
        <w:t>领域各类</w:t>
      </w:r>
      <w:r>
        <w:rPr>
          <w:rFonts w:eastAsia="仿宋_GB2312"/>
          <w:sz w:val="32"/>
          <w:szCs w:val="32"/>
          <w:lang w:val="en"/>
        </w:rPr>
        <w:t>专项整治工作，</w:t>
      </w:r>
      <w:r>
        <w:rPr>
          <w:rFonts w:eastAsia="仿宋_GB2312" w:hint="eastAsia"/>
          <w:sz w:val="32"/>
          <w:szCs w:val="32"/>
        </w:rPr>
        <w:t>统筹实施日常监管与分类管控、案件查办与行刑衔接、上下联动与社会共治等措施，</w:t>
      </w:r>
      <w:r>
        <w:rPr>
          <w:rFonts w:eastAsia="仿宋_GB2312" w:hint="eastAsia"/>
          <w:sz w:val="32"/>
          <w:szCs w:val="32"/>
        </w:rPr>
        <w:t>2024</w:t>
      </w:r>
      <w:r>
        <w:rPr>
          <w:rFonts w:eastAsia="仿宋_GB2312" w:hint="eastAsia"/>
          <w:sz w:val="32"/>
          <w:szCs w:val="32"/>
        </w:rPr>
        <w:t>年底药品安全监管覆盖率达到</w:t>
      </w:r>
      <w:r>
        <w:rPr>
          <w:rFonts w:eastAsia="仿宋_GB2312" w:hint="eastAsia"/>
          <w:sz w:val="32"/>
          <w:szCs w:val="32"/>
        </w:rPr>
        <w:t>100%</w:t>
      </w:r>
      <w:r>
        <w:rPr>
          <w:rFonts w:eastAsia="仿宋_GB2312" w:hint="eastAsia"/>
          <w:sz w:val="32"/>
          <w:szCs w:val="32"/>
        </w:rPr>
        <w:t>，计划抽检药品</w:t>
      </w:r>
      <w:r>
        <w:rPr>
          <w:rFonts w:eastAsia="仿宋_GB2312" w:hint="eastAsia"/>
          <w:sz w:val="32"/>
          <w:szCs w:val="32"/>
        </w:rPr>
        <w:t>286</w:t>
      </w:r>
      <w:r>
        <w:rPr>
          <w:rFonts w:eastAsia="仿宋_GB2312" w:hint="eastAsia"/>
          <w:sz w:val="32"/>
          <w:szCs w:val="32"/>
        </w:rPr>
        <w:t>批次，抽检量达到</w:t>
      </w:r>
      <w:r>
        <w:rPr>
          <w:rFonts w:eastAsia="仿宋_GB2312" w:hint="eastAsia"/>
          <w:sz w:val="32"/>
          <w:szCs w:val="32"/>
        </w:rPr>
        <w:t>2.5</w:t>
      </w:r>
      <w:r>
        <w:rPr>
          <w:rFonts w:eastAsia="仿宋_GB2312" w:hint="eastAsia"/>
          <w:sz w:val="32"/>
          <w:szCs w:val="32"/>
        </w:rPr>
        <w:t>批次</w:t>
      </w:r>
      <w:r>
        <w:rPr>
          <w:rFonts w:eastAsia="仿宋_GB2312" w:hint="eastAsia"/>
          <w:sz w:val="32"/>
          <w:szCs w:val="32"/>
        </w:rPr>
        <w:t>/</w:t>
      </w:r>
      <w:r>
        <w:rPr>
          <w:rFonts w:eastAsia="仿宋_GB2312" w:hint="eastAsia"/>
          <w:sz w:val="32"/>
          <w:szCs w:val="32"/>
        </w:rPr>
        <w:t>万人，合格率达到</w:t>
      </w:r>
      <w:r>
        <w:rPr>
          <w:rFonts w:eastAsia="仿宋_GB2312" w:hint="eastAsia"/>
          <w:sz w:val="32"/>
          <w:szCs w:val="32"/>
        </w:rPr>
        <w:t>99%</w:t>
      </w:r>
      <w:r>
        <w:rPr>
          <w:rFonts w:eastAsia="仿宋_GB2312" w:hint="eastAsia"/>
          <w:sz w:val="32"/>
          <w:szCs w:val="32"/>
        </w:rPr>
        <w:t>以上。</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是构建特设安全保障体系。推动建立全盟工业气瓶智慧平台，建立完善与特种设备使用单位、检验机构等联动机制，从张贴气瓶电子标签、建立信息档案、日常充装监管、检验检测等多角度全力推进气瓶“电子监管</w:t>
      </w:r>
      <w:r>
        <w:rPr>
          <w:rFonts w:eastAsia="仿宋_GB2312" w:hint="eastAsia"/>
          <w:sz w:val="32"/>
          <w:szCs w:val="32"/>
        </w:rPr>
        <w:t>+</w:t>
      </w:r>
      <w:r>
        <w:rPr>
          <w:rFonts w:eastAsia="仿宋_GB2312" w:hint="eastAsia"/>
          <w:sz w:val="32"/>
          <w:szCs w:val="32"/>
        </w:rPr>
        <w:t>阳光充装”工作，有效解决“人机矛盾”问题，做到在用气瓶底数更加清晰，充装行为更加规范，切实保障全盟气瓶充装安全。强化特种设备安全风险隐患排查力度，持续开展燃气安全排查</w:t>
      </w:r>
      <w:r>
        <w:rPr>
          <w:rFonts w:eastAsia="仿宋_GB2312" w:hint="eastAsia"/>
          <w:sz w:val="32"/>
          <w:szCs w:val="32"/>
        </w:rPr>
        <w:lastRenderedPageBreak/>
        <w:t>整治、电梯安全筑底行动，提高应急救援能力，实现乘客电梯应急处置服务平台</w:t>
      </w:r>
      <w:r>
        <w:rPr>
          <w:rFonts w:eastAsia="仿宋_GB2312" w:hint="eastAsia"/>
          <w:sz w:val="32"/>
          <w:szCs w:val="32"/>
        </w:rPr>
        <w:t>100%</w:t>
      </w:r>
      <w:r>
        <w:rPr>
          <w:rFonts w:eastAsia="仿宋_GB2312" w:hint="eastAsia"/>
          <w:sz w:val="32"/>
          <w:szCs w:val="32"/>
        </w:rPr>
        <w:t>全覆盖。</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四是严保工业产品质量安全。以产品质量问题为导向，重点推进全盟工业产品质量监督抽检工作“增量提效”，对重要工业产品生产企业开展</w:t>
      </w:r>
      <w:r>
        <w:rPr>
          <w:rFonts w:eastAsia="仿宋_GB2312" w:hint="eastAsia"/>
          <w:sz w:val="32"/>
          <w:szCs w:val="32"/>
        </w:rPr>
        <w:t>100%</w:t>
      </w:r>
      <w:r>
        <w:rPr>
          <w:rFonts w:eastAsia="仿宋_GB2312" w:hint="eastAsia"/>
          <w:sz w:val="32"/>
          <w:szCs w:val="32"/>
        </w:rPr>
        <w:t>监督检查，实现盟本级工业产品监督抽检</w:t>
      </w:r>
      <w:r>
        <w:rPr>
          <w:rFonts w:eastAsia="仿宋_GB2312" w:hint="eastAsia"/>
          <w:sz w:val="32"/>
          <w:szCs w:val="32"/>
        </w:rPr>
        <w:t>500</w:t>
      </w:r>
      <w:r>
        <w:rPr>
          <w:rFonts w:eastAsia="仿宋_GB2312" w:hint="eastAsia"/>
          <w:sz w:val="32"/>
          <w:szCs w:val="32"/>
        </w:rPr>
        <w:t>批次以上，力争达到</w:t>
      </w:r>
      <w:r>
        <w:rPr>
          <w:rFonts w:eastAsia="仿宋_GB2312" w:hint="eastAsia"/>
          <w:sz w:val="32"/>
          <w:szCs w:val="32"/>
        </w:rPr>
        <w:t>600</w:t>
      </w:r>
      <w:r>
        <w:rPr>
          <w:rFonts w:eastAsia="仿宋_GB2312" w:hint="eastAsia"/>
          <w:sz w:val="32"/>
          <w:szCs w:val="32"/>
        </w:rPr>
        <w:t>批次，较去年增长</w:t>
      </w:r>
      <w:r>
        <w:rPr>
          <w:rFonts w:eastAsia="仿宋_GB2312" w:hint="eastAsia"/>
          <w:sz w:val="32"/>
          <w:szCs w:val="32"/>
        </w:rPr>
        <w:t>80</w:t>
      </w:r>
      <w:r>
        <w:rPr>
          <w:rFonts w:eastAsia="仿宋_GB2312" w:hint="eastAsia"/>
          <w:sz w:val="32"/>
          <w:szCs w:val="32"/>
        </w:rPr>
        <w:t>—</w:t>
      </w:r>
      <w:r>
        <w:rPr>
          <w:rFonts w:eastAsia="仿宋_GB2312" w:hint="eastAsia"/>
          <w:sz w:val="32"/>
          <w:szCs w:val="32"/>
        </w:rPr>
        <w:t>100%</w:t>
      </w:r>
      <w:r>
        <w:rPr>
          <w:rFonts w:eastAsia="仿宋_GB2312" w:hint="eastAsia"/>
          <w:sz w:val="32"/>
          <w:szCs w:val="32"/>
        </w:rPr>
        <w:t>。同时，强化监督抽查后处理工作，后处理率达到</w:t>
      </w:r>
      <w:r>
        <w:rPr>
          <w:rFonts w:eastAsia="仿宋_GB2312" w:hint="eastAsia"/>
          <w:sz w:val="32"/>
          <w:szCs w:val="32"/>
        </w:rPr>
        <w:t>100%</w:t>
      </w:r>
      <w:r>
        <w:rPr>
          <w:rFonts w:eastAsia="仿宋_GB2312" w:hint="eastAsia"/>
          <w:sz w:val="32"/>
          <w:szCs w:val="32"/>
        </w:rPr>
        <w:t>。</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（五）深入开展“五件实事”取得实效</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一是扎实开展国家食品安全示范城市创建。要紧盯属地管理责任“死角盲区”，聚焦企业主体责任“短板弱项”，全面推动食品安全“两个责任”落细落小落实。力争在</w:t>
      </w:r>
      <w:r>
        <w:rPr>
          <w:rFonts w:eastAsia="仿宋_GB2312" w:hint="eastAsia"/>
          <w:sz w:val="32"/>
          <w:szCs w:val="32"/>
        </w:rPr>
        <w:t>2024</w:t>
      </w:r>
      <w:r>
        <w:rPr>
          <w:rFonts w:eastAsia="仿宋_GB2312" w:hint="eastAsia"/>
          <w:sz w:val="32"/>
          <w:szCs w:val="32"/>
        </w:rPr>
        <w:t>年上半年完成基础工作、能力建设、生产经营状况三大方面的</w:t>
      </w:r>
      <w:r>
        <w:rPr>
          <w:rFonts w:eastAsia="仿宋_GB2312" w:hint="eastAsia"/>
          <w:sz w:val="32"/>
          <w:szCs w:val="32"/>
        </w:rPr>
        <w:t>115</w:t>
      </w:r>
      <w:r>
        <w:rPr>
          <w:rFonts w:eastAsia="仿宋_GB2312" w:hint="eastAsia"/>
          <w:sz w:val="32"/>
          <w:szCs w:val="32"/>
        </w:rPr>
        <w:t>项工作，年底前完成食品安全状况、示范引领两大方面的</w:t>
      </w:r>
      <w:r>
        <w:rPr>
          <w:rFonts w:eastAsia="仿宋_GB2312" w:hint="eastAsia"/>
          <w:sz w:val="32"/>
          <w:szCs w:val="32"/>
        </w:rPr>
        <w:t>22</w:t>
      </w:r>
      <w:r>
        <w:rPr>
          <w:rFonts w:eastAsia="仿宋_GB2312" w:hint="eastAsia"/>
          <w:sz w:val="32"/>
          <w:szCs w:val="32"/>
        </w:rPr>
        <w:t>项工作。建立健全食品安全应急机制，制定食品各环节风险分级管理办法，明确食品企业主体责任清单，做到及时发现食品问题，抓小抓早解决问题。开展食品安全应急演练，提高食品安全事故应急处置水平，提升应对突发食品安全事故的组织指挥、协调配合、快速反应和高效处置的能力。持续深入开展系列宣传，让群众更好地了解到食品安全的变化，感受到盟委行署对食品安全的重视，提升人民对食品消费的安全感和幸福感，营造人人参与，人人知晓的食品安全良好局面。</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二是持续优化市场监管领域营商环境。总结梳理</w:t>
      </w:r>
      <w:r>
        <w:rPr>
          <w:rFonts w:eastAsia="仿宋_GB2312" w:hint="eastAsia"/>
          <w:sz w:val="32"/>
          <w:szCs w:val="32"/>
        </w:rPr>
        <w:t>2023</w:t>
      </w:r>
      <w:r>
        <w:rPr>
          <w:rFonts w:eastAsia="仿宋_GB2312" w:hint="eastAsia"/>
          <w:sz w:val="32"/>
          <w:szCs w:val="32"/>
        </w:rPr>
        <w:t>年全区优化营商环境评估工作存在问题，落实好市场监管部门牵头商事登记、市场监管、知识产权保护创造运用方面整改提升工作，提升优化营商环</w:t>
      </w:r>
      <w:r>
        <w:rPr>
          <w:rFonts w:eastAsia="仿宋_GB2312" w:hint="eastAsia"/>
          <w:sz w:val="32"/>
          <w:szCs w:val="32"/>
        </w:rPr>
        <w:lastRenderedPageBreak/>
        <w:t>境水平。持续推进《锡林郭勒盟落实</w:t>
      </w:r>
      <w:r>
        <w:rPr>
          <w:rFonts w:eastAsia="仿宋_GB2312" w:hint="eastAsia"/>
          <w:sz w:val="32"/>
          <w:szCs w:val="32"/>
        </w:rPr>
        <w:t>&lt;</w:t>
      </w:r>
      <w:r>
        <w:rPr>
          <w:rFonts w:eastAsia="仿宋_GB2312" w:hint="eastAsia"/>
          <w:sz w:val="32"/>
          <w:szCs w:val="32"/>
        </w:rPr>
        <w:t>内蒙古自治区小微企业个体工商户三年成长计划（</w:t>
      </w:r>
      <w:r>
        <w:rPr>
          <w:rFonts w:eastAsia="仿宋_GB2312" w:hint="eastAsia"/>
          <w:sz w:val="32"/>
          <w:szCs w:val="32"/>
        </w:rPr>
        <w:t>2023-2025</w:t>
      </w:r>
      <w:r>
        <w:rPr>
          <w:rFonts w:eastAsia="仿宋_GB2312" w:hint="eastAsia"/>
          <w:sz w:val="32"/>
          <w:szCs w:val="32"/>
        </w:rPr>
        <w:t>年</w:t>
      </w:r>
      <w:r>
        <w:rPr>
          <w:rFonts w:eastAsia="仿宋_GB2312" w:hint="eastAsia"/>
          <w:sz w:val="32"/>
          <w:szCs w:val="32"/>
        </w:rPr>
        <w:t>&gt;</w:t>
      </w:r>
      <w:r>
        <w:rPr>
          <w:rFonts w:eastAsia="仿宋_GB2312" w:hint="eastAsia"/>
          <w:sz w:val="32"/>
          <w:szCs w:val="32"/>
        </w:rPr>
        <w:t>任务台账》落实，确保政策在我盟落实落地、见行见效。</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三是认真落实扶持小微企业个体工商户三年成长计划。认真贯彻落实《促进个体工商户发展条例》《锡盟小微企业个体工商户三年成长计划任务台账》，统筹推进</w:t>
      </w:r>
      <w:r>
        <w:rPr>
          <w:rFonts w:eastAsia="仿宋_GB2312" w:hint="eastAsia"/>
          <w:sz w:val="32"/>
          <w:szCs w:val="32"/>
        </w:rPr>
        <w:t>37</w:t>
      </w:r>
      <w:r>
        <w:rPr>
          <w:rFonts w:eastAsia="仿宋_GB2312" w:hint="eastAsia"/>
          <w:sz w:val="32"/>
          <w:szCs w:val="32"/>
        </w:rPr>
        <w:t>项措施落地，以激发市场主体活力为主线，在提升服务质量和服务能力上下功夫，大力扶持个体经济发展。开展个体工商户分类分型精准帮扶试点工作。为贯彻落实党中央</w:t>
      </w:r>
      <w:r w:rsidR="0075660C">
        <w:rPr>
          <w:rFonts w:eastAsia="仿宋_GB2312" w:hint="eastAsia"/>
          <w:sz w:val="32"/>
          <w:szCs w:val="32"/>
        </w:rPr>
        <w:t>、</w:t>
      </w:r>
      <w:bookmarkStart w:id="0" w:name="_GoBack"/>
      <w:bookmarkEnd w:id="0"/>
      <w:r>
        <w:rPr>
          <w:rFonts w:eastAsia="仿宋_GB2312" w:hint="eastAsia"/>
          <w:sz w:val="32"/>
          <w:szCs w:val="32"/>
        </w:rPr>
        <w:t>国务院关于促进个体工商户发展的决策部署，着力提升我盟个体工商户总体发展质量，将实际从事经营的个体工商户分为“生存型”“成长型”和“发展型”，分别采取有针对性的帮扶措施，在分型基础上加大对“名特优新”四类个体工商户的选拔和培育力度，推动完善各项支持政策，更好地促进个体工商户持续健康发展。</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四是深入开展市场监管领域“公平公正、安全放心”守护行动。突出问题导向，聚焦人民群众反映强烈、社会舆论关注和市场监管中的突出问题，持续深化“衣食住行”等重点民生领域“铁拳”行动，加大价格、广告、网络交易等执法检查力度，继续开展妨碍全国统一大市场和公平竞争的政策措施清理工作，强化曝光典型案例的社会效果。积极推动全盟消协组织机构建设工作，及时处理消费者投诉举报。积极加快执法办案平台推广速度，全面推进盟局、旗县局、基层监管所三级行政执法单位上线应用“执法办案平台”。持续加大案件查办，保持</w:t>
      </w:r>
      <w:r>
        <w:rPr>
          <w:rFonts w:eastAsia="仿宋_GB2312" w:hint="eastAsia"/>
          <w:sz w:val="32"/>
          <w:szCs w:val="32"/>
        </w:rPr>
        <w:t>2024</w:t>
      </w:r>
      <w:r>
        <w:rPr>
          <w:rFonts w:eastAsia="仿宋_GB2312" w:hint="eastAsia"/>
          <w:sz w:val="32"/>
          <w:szCs w:val="32"/>
        </w:rPr>
        <w:t>年查办食品安全案件数量不低于</w:t>
      </w:r>
      <w:r>
        <w:rPr>
          <w:rFonts w:eastAsia="仿宋_GB2312" w:hint="eastAsia"/>
          <w:sz w:val="32"/>
          <w:szCs w:val="32"/>
        </w:rPr>
        <w:t>4</w:t>
      </w:r>
      <w:r>
        <w:rPr>
          <w:rFonts w:eastAsia="仿宋_GB2312" w:hint="eastAsia"/>
          <w:sz w:val="32"/>
          <w:szCs w:val="32"/>
        </w:rPr>
        <w:t>件</w:t>
      </w:r>
      <w:r>
        <w:rPr>
          <w:rFonts w:eastAsia="仿宋_GB2312" w:hint="eastAsia"/>
          <w:sz w:val="32"/>
          <w:szCs w:val="32"/>
          <w:lang w:val="en"/>
        </w:rPr>
        <w:t>/</w:t>
      </w:r>
      <w:r>
        <w:rPr>
          <w:rFonts w:eastAsia="仿宋_GB2312" w:hint="eastAsia"/>
          <w:sz w:val="32"/>
          <w:szCs w:val="32"/>
          <w:lang w:val="en"/>
        </w:rPr>
        <w:t>每</w:t>
      </w:r>
      <w:r>
        <w:rPr>
          <w:rFonts w:eastAsia="仿宋_GB2312" w:hint="eastAsia"/>
          <w:sz w:val="32"/>
          <w:szCs w:val="32"/>
        </w:rPr>
        <w:t>1</w:t>
      </w:r>
      <w:r>
        <w:rPr>
          <w:rFonts w:eastAsia="仿宋_GB2312" w:hint="eastAsia"/>
          <w:sz w:val="32"/>
          <w:szCs w:val="32"/>
        </w:rPr>
        <w:t>万人的标准，查办普通程序“两品一械”案件达到</w:t>
      </w:r>
      <w:r>
        <w:rPr>
          <w:rFonts w:eastAsia="仿宋_GB2312" w:hint="eastAsia"/>
          <w:sz w:val="32"/>
          <w:szCs w:val="32"/>
        </w:rPr>
        <w:t>1.3</w:t>
      </w:r>
      <w:r>
        <w:rPr>
          <w:rFonts w:eastAsia="仿宋_GB2312" w:hint="eastAsia"/>
          <w:sz w:val="32"/>
          <w:szCs w:val="32"/>
        </w:rPr>
        <w:t>件</w:t>
      </w:r>
      <w:r>
        <w:rPr>
          <w:rFonts w:eastAsia="仿宋_GB2312" w:hint="eastAsia"/>
          <w:sz w:val="32"/>
          <w:szCs w:val="32"/>
          <w:lang w:val="en"/>
        </w:rPr>
        <w:t>/</w:t>
      </w:r>
      <w:r>
        <w:rPr>
          <w:rFonts w:eastAsia="仿宋_GB2312" w:hint="eastAsia"/>
          <w:sz w:val="32"/>
          <w:szCs w:val="32"/>
          <w:lang w:val="en"/>
        </w:rPr>
        <w:t>每</w:t>
      </w:r>
      <w:r>
        <w:rPr>
          <w:rFonts w:eastAsia="仿宋_GB2312" w:hint="eastAsia"/>
          <w:sz w:val="32"/>
          <w:szCs w:val="32"/>
        </w:rPr>
        <w:t>1</w:t>
      </w:r>
      <w:r>
        <w:rPr>
          <w:rFonts w:eastAsia="仿宋_GB2312" w:hint="eastAsia"/>
          <w:sz w:val="32"/>
          <w:szCs w:val="32"/>
        </w:rPr>
        <w:t>万人的标准，严厉打击</w:t>
      </w:r>
      <w:r>
        <w:rPr>
          <w:rFonts w:eastAsia="仿宋_GB2312" w:hint="eastAsia"/>
          <w:sz w:val="32"/>
          <w:szCs w:val="32"/>
        </w:rPr>
        <w:lastRenderedPageBreak/>
        <w:t>群众身边性质恶劣的违法行为，努力营造公平公正、安全放心的市场消费环境。</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五是扎实推进市场监管系统行风建设三年攻坚行动。围绕</w:t>
      </w:r>
      <w:r>
        <w:rPr>
          <w:rFonts w:eastAsia="仿宋_GB2312" w:hint="eastAsia"/>
          <w:sz w:val="32"/>
          <w:szCs w:val="32"/>
        </w:rPr>
        <w:t>2024</w:t>
      </w:r>
      <w:r>
        <w:rPr>
          <w:rFonts w:eastAsia="仿宋_GB2312" w:hint="eastAsia"/>
          <w:sz w:val="32"/>
          <w:szCs w:val="32"/>
        </w:rPr>
        <w:t>年“深化拓展”行风建设主题，深化拓展优化审批服务、规范日常监管、提升执法水平、加强队伍建设的创新举措</w:t>
      </w:r>
      <w:r>
        <w:rPr>
          <w:rFonts w:eastAsia="仿宋_GB2312" w:hint="eastAsia"/>
          <w:sz w:val="32"/>
          <w:szCs w:val="32"/>
        </w:rPr>
        <w:t>,</w:t>
      </w:r>
      <w:r>
        <w:rPr>
          <w:rFonts w:eastAsia="仿宋_GB2312" w:hint="eastAsia"/>
          <w:sz w:val="32"/>
          <w:szCs w:val="32"/>
        </w:rPr>
        <w:t>力争再完成</w:t>
      </w:r>
      <w:r>
        <w:rPr>
          <w:rFonts w:eastAsia="仿宋_GB2312" w:hint="eastAsia"/>
          <w:sz w:val="32"/>
          <w:szCs w:val="32"/>
        </w:rPr>
        <w:t>7</w:t>
      </w:r>
      <w:r>
        <w:rPr>
          <w:rFonts w:eastAsia="仿宋_GB2312" w:hint="eastAsia"/>
          <w:sz w:val="32"/>
          <w:szCs w:val="32"/>
        </w:rPr>
        <w:t>个基层监管所标准化建设，建设人民满意的市场监管队伍，进一步提升市场监管部门的社会公信力和社会满意度，为全盟经济社会高质量发展贡献市场监管力量。</w:t>
      </w:r>
    </w:p>
    <w:p w:rsidR="00E1719B" w:rsidRDefault="00E1719B">
      <w:pPr>
        <w:widowControl/>
        <w:shd w:val="clear" w:color="auto" w:fill="FFFFFF"/>
        <w:spacing w:line="600" w:lineRule="atLeast"/>
        <w:ind w:firstLineChars="200" w:firstLine="640"/>
        <w:rPr>
          <w:rFonts w:eastAsia="仿宋_GB2312"/>
          <w:sz w:val="32"/>
          <w:szCs w:val="32"/>
        </w:rPr>
      </w:pPr>
    </w:p>
    <w:p w:rsidR="00E1719B" w:rsidRDefault="00E1719B">
      <w:pPr>
        <w:pStyle w:val="4"/>
        <w:tabs>
          <w:tab w:val="left" w:pos="4392"/>
        </w:tabs>
        <w:spacing w:before="0" w:after="0" w:line="600" w:lineRule="atLeast"/>
        <w:jc w:val="center"/>
        <w:rPr>
          <w:rFonts w:ascii="方正小标宋简体" w:eastAsia="方正小标宋简体" w:hAnsi="方正小标宋简体" w:cs="方正小标宋简体"/>
          <w:b w:val="0"/>
          <w:bCs w:val="0"/>
          <w:sz w:val="36"/>
          <w:szCs w:val="36"/>
        </w:rPr>
      </w:pPr>
    </w:p>
    <w:p w:rsidR="00E1719B" w:rsidRDefault="008429D3">
      <w:pPr>
        <w:pStyle w:val="4"/>
        <w:tabs>
          <w:tab w:val="left" w:pos="4392"/>
        </w:tabs>
        <w:spacing w:before="0" w:after="0" w:line="600" w:lineRule="atLeas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第二部分2024年度部门（单位）预算情况说明</w:t>
      </w:r>
    </w:p>
    <w:p w:rsidR="00E1719B" w:rsidRDefault="00E1719B">
      <w:pPr>
        <w:spacing w:line="600" w:lineRule="atLeast"/>
        <w:rPr>
          <w:rFonts w:ascii="方正小标宋简体" w:eastAsia="方正小标宋简体" w:hAnsi="方正小标宋简体" w:cs="方正小标宋简体"/>
          <w:sz w:val="36"/>
          <w:szCs w:val="36"/>
        </w:rPr>
      </w:pP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一、收支预算总体情况说明</w:t>
      </w:r>
    </w:p>
    <w:p w:rsidR="00E1719B" w:rsidRDefault="008429D3">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hint="eastAsia"/>
          <w:sz w:val="32"/>
          <w:szCs w:val="32"/>
        </w:rPr>
        <w:t>年度收入、支出预算总计</w:t>
      </w:r>
      <w:r>
        <w:rPr>
          <w:rFonts w:eastAsia="仿宋_GB2312" w:hint="eastAsia"/>
          <w:sz w:val="32"/>
          <w:szCs w:val="32"/>
        </w:rPr>
        <w:t>3673.78</w:t>
      </w:r>
      <w:r>
        <w:rPr>
          <w:rFonts w:eastAsia="仿宋_GB2312" w:hint="eastAsia"/>
          <w:sz w:val="32"/>
          <w:szCs w:val="32"/>
        </w:rPr>
        <w:t>万元，与上年相比收、支预算总计各增加</w:t>
      </w:r>
      <w:r>
        <w:rPr>
          <w:rFonts w:eastAsia="仿宋_GB2312" w:hint="eastAsia"/>
          <w:sz w:val="32"/>
          <w:szCs w:val="32"/>
        </w:rPr>
        <w:t>752.31</w:t>
      </w:r>
      <w:r>
        <w:rPr>
          <w:rFonts w:eastAsia="仿宋_GB2312" w:hint="eastAsia"/>
          <w:sz w:val="32"/>
          <w:szCs w:val="32"/>
        </w:rPr>
        <w:t>万元，增长</w:t>
      </w:r>
      <w:r>
        <w:rPr>
          <w:rFonts w:eastAsia="仿宋_GB2312" w:hint="eastAsia"/>
          <w:sz w:val="32"/>
          <w:szCs w:val="32"/>
        </w:rPr>
        <w:t>25.75%</w:t>
      </w:r>
      <w:r>
        <w:rPr>
          <w:rFonts w:eastAsia="仿宋_GB2312" w:hint="eastAsia"/>
          <w:sz w:val="32"/>
          <w:szCs w:val="32"/>
        </w:rPr>
        <w:t>。其中：</w:t>
      </w:r>
    </w:p>
    <w:p w:rsidR="00E1719B" w:rsidRDefault="008429D3">
      <w:pPr>
        <w:pStyle w:val="a5"/>
        <w:tabs>
          <w:tab w:val="left" w:pos="4275"/>
        </w:tabs>
        <w:spacing w:after="0" w:line="60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（一）收入预算总计3673.78万元。包括：</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rPr>
        <w:t>3136.68</w:t>
      </w:r>
      <w:r>
        <w:rPr>
          <w:rFonts w:eastAsia="仿宋_GB2312"/>
          <w:sz w:val="32"/>
          <w:szCs w:val="32"/>
        </w:rPr>
        <w:t>万元。</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rPr>
        <w:t>3136.68</w:t>
      </w:r>
      <w:r>
        <w:rPr>
          <w:rFonts w:eastAsia="仿宋_GB2312"/>
          <w:sz w:val="32"/>
          <w:szCs w:val="32"/>
        </w:rPr>
        <w:t>万元，与上年相比增加</w:t>
      </w:r>
      <w:r>
        <w:rPr>
          <w:rFonts w:eastAsia="仿宋_GB2312" w:hint="eastAsia"/>
          <w:sz w:val="32"/>
          <w:szCs w:val="32"/>
        </w:rPr>
        <w:t>447.01</w:t>
      </w:r>
      <w:r>
        <w:rPr>
          <w:rFonts w:eastAsia="仿宋_GB2312"/>
          <w:sz w:val="32"/>
          <w:szCs w:val="32"/>
        </w:rPr>
        <w:t>万元，增长</w:t>
      </w:r>
      <w:r>
        <w:rPr>
          <w:rFonts w:eastAsia="仿宋_GB2312" w:hint="eastAsia"/>
          <w:sz w:val="32"/>
          <w:szCs w:val="32"/>
        </w:rPr>
        <w:t>16.62</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w:t>
      </w:r>
      <w:r>
        <w:rPr>
          <w:rFonts w:eastAsia="仿宋_GB2312"/>
          <w:sz w:val="32"/>
          <w:szCs w:val="32"/>
        </w:rPr>
        <w:lastRenderedPageBreak/>
        <w:t>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本单位无政府性基金预算拨款收入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国有资本经营</w:t>
      </w:r>
      <w:r>
        <w:rPr>
          <w:rFonts w:eastAsia="仿宋_GB2312" w:hint="eastAsia"/>
          <w:sz w:val="32"/>
          <w:szCs w:val="32"/>
        </w:rPr>
        <w:t>预算拨款收入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财政专户管理资金收入。</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本单位无事业收入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本单位无事业单位经营收入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本单位无上级补助收入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附属单位上缴收入。</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本单位无其他收入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rPr>
        <w:t>537.1</w:t>
      </w:r>
      <w:r>
        <w:rPr>
          <w:rFonts w:eastAsia="仿宋_GB2312"/>
          <w:sz w:val="32"/>
          <w:szCs w:val="32"/>
        </w:rPr>
        <w:t>万元。与上年相比增加</w:t>
      </w:r>
      <w:r>
        <w:rPr>
          <w:rFonts w:eastAsia="仿宋_GB2312" w:hint="eastAsia"/>
          <w:sz w:val="32"/>
          <w:szCs w:val="32"/>
        </w:rPr>
        <w:t>305.3</w:t>
      </w:r>
      <w:r>
        <w:rPr>
          <w:rFonts w:eastAsia="仿宋_GB2312"/>
          <w:sz w:val="32"/>
          <w:szCs w:val="32"/>
        </w:rPr>
        <w:t>万元，增长</w:t>
      </w:r>
      <w:r>
        <w:rPr>
          <w:rFonts w:eastAsia="仿宋_GB2312" w:hint="eastAsia"/>
          <w:sz w:val="32"/>
          <w:szCs w:val="32"/>
        </w:rPr>
        <w:t>131.7</w:t>
      </w:r>
      <w:r>
        <w:rPr>
          <w:rFonts w:eastAsia="仿宋_GB2312"/>
          <w:sz w:val="32"/>
          <w:szCs w:val="32"/>
        </w:rPr>
        <w:t>%</w:t>
      </w:r>
      <w:r>
        <w:rPr>
          <w:rFonts w:eastAsia="仿宋_GB2312"/>
          <w:sz w:val="32"/>
          <w:szCs w:val="32"/>
        </w:rPr>
        <w:t>。主要原因是</w:t>
      </w:r>
      <w:r>
        <w:rPr>
          <w:rFonts w:eastAsia="仿宋_GB2312" w:hint="eastAsia"/>
          <w:sz w:val="32"/>
          <w:szCs w:val="32"/>
        </w:rPr>
        <w:t>2023</w:t>
      </w:r>
      <w:r>
        <w:rPr>
          <w:rFonts w:eastAsia="仿宋_GB2312" w:hint="eastAsia"/>
          <w:sz w:val="32"/>
          <w:szCs w:val="32"/>
        </w:rPr>
        <w:t>年结转创建国家食品安全示范城市工作资金</w:t>
      </w:r>
      <w:r>
        <w:rPr>
          <w:rFonts w:eastAsia="仿宋_GB2312" w:hint="eastAsia"/>
          <w:sz w:val="32"/>
          <w:szCs w:val="32"/>
        </w:rPr>
        <w:t>285.07</w:t>
      </w:r>
      <w:r>
        <w:rPr>
          <w:rFonts w:eastAsia="仿宋_GB2312" w:hint="eastAsia"/>
          <w:sz w:val="32"/>
          <w:szCs w:val="32"/>
        </w:rPr>
        <w:t>万元及办公楼维修项目</w:t>
      </w:r>
      <w:r>
        <w:rPr>
          <w:rFonts w:eastAsia="仿宋_GB2312" w:hint="eastAsia"/>
          <w:sz w:val="32"/>
          <w:szCs w:val="32"/>
        </w:rPr>
        <w:t>180</w:t>
      </w:r>
      <w:r>
        <w:rPr>
          <w:rFonts w:eastAsia="仿宋_GB2312" w:hint="eastAsia"/>
          <w:sz w:val="32"/>
          <w:szCs w:val="32"/>
        </w:rPr>
        <w:t>万元</w:t>
      </w:r>
      <w:r>
        <w:rPr>
          <w:rFonts w:eastAsia="仿宋_GB2312"/>
          <w:sz w:val="32"/>
          <w:szCs w:val="32"/>
        </w:rPr>
        <w:t>。</w:t>
      </w:r>
    </w:p>
    <w:p w:rsidR="00E1719B" w:rsidRDefault="008429D3">
      <w:pPr>
        <w:pStyle w:val="a5"/>
        <w:tabs>
          <w:tab w:val="left" w:pos="4275"/>
        </w:tabs>
        <w:spacing w:after="0" w:line="60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（二）支出预算总计3673.78万元。包括：</w:t>
      </w:r>
    </w:p>
    <w:p w:rsidR="00E1719B" w:rsidRDefault="008429D3">
      <w:pPr>
        <w:pStyle w:val="a5"/>
        <w:tabs>
          <w:tab w:val="left" w:pos="3792"/>
        </w:tabs>
        <w:spacing w:after="0"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rPr>
        <w:t>3673.78</w:t>
      </w:r>
      <w:r>
        <w:rPr>
          <w:rFonts w:eastAsia="仿宋_GB2312"/>
          <w:sz w:val="32"/>
          <w:szCs w:val="32"/>
        </w:rPr>
        <w:t>万元。</w:t>
      </w:r>
    </w:p>
    <w:p w:rsidR="00E1719B" w:rsidRDefault="008429D3">
      <w:pPr>
        <w:pStyle w:val="a5"/>
        <w:tabs>
          <w:tab w:val="left" w:pos="3288"/>
          <w:tab w:val="left" w:pos="5641"/>
          <w:tab w:val="left" w:pos="677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rPr>
        <w:t>2768.09</w:t>
      </w:r>
      <w:r>
        <w:rPr>
          <w:rFonts w:eastAsia="仿宋_GB2312"/>
          <w:sz w:val="32"/>
          <w:szCs w:val="32"/>
        </w:rPr>
        <w:t>万元，主要用于保障机构正常运转、完成工作任务而发生的人员支出、公用支出和专项业务、质量检验工作支出以及特种设备及电梯运营监控系统等方面支出。与</w:t>
      </w:r>
      <w:r>
        <w:rPr>
          <w:rFonts w:eastAsia="仿宋_GB2312"/>
          <w:sz w:val="32"/>
          <w:szCs w:val="32"/>
        </w:rPr>
        <w:lastRenderedPageBreak/>
        <w:t>上年相比增加</w:t>
      </w:r>
      <w:r>
        <w:rPr>
          <w:rFonts w:eastAsia="仿宋_GB2312" w:hint="eastAsia"/>
          <w:sz w:val="32"/>
          <w:szCs w:val="32"/>
        </w:rPr>
        <w:t>487.4</w:t>
      </w:r>
      <w:r>
        <w:rPr>
          <w:rFonts w:eastAsia="仿宋_GB2312"/>
          <w:sz w:val="32"/>
          <w:szCs w:val="32"/>
        </w:rPr>
        <w:t>万元，增长</w:t>
      </w:r>
      <w:r>
        <w:rPr>
          <w:rFonts w:eastAsia="仿宋_GB2312" w:hint="eastAsia"/>
          <w:sz w:val="32"/>
          <w:szCs w:val="32"/>
        </w:rPr>
        <w:t>21.37</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E1719B" w:rsidRDefault="008429D3">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2</w:t>
      </w:r>
      <w:r>
        <w:rPr>
          <w:rFonts w:ascii="Times New Roman" w:eastAsia="仿宋_GB2312" w:hAnsi="Times New Roman" w:cs="Times New Roman"/>
          <w:kern w:val="2"/>
          <w:sz w:val="32"/>
          <w:szCs w:val="32"/>
          <w:lang w:eastAsia="zh-CN"/>
        </w:rPr>
        <w:t>）社会保障和就业</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425.74</w:t>
      </w:r>
      <w:r>
        <w:rPr>
          <w:rFonts w:ascii="Times New Roman" w:eastAsia="仿宋_GB2312" w:hAnsi="Times New Roman" w:cs="Times New Roman"/>
          <w:kern w:val="2"/>
          <w:sz w:val="32"/>
          <w:szCs w:val="32"/>
          <w:lang w:eastAsia="zh-CN"/>
        </w:rPr>
        <w:t>万元，主要用于发放离休人员工资和缴纳在职人员养老保险等。与上年相比</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133.63</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45.74</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，主要原因是：</w:t>
      </w:r>
      <w:r>
        <w:rPr>
          <w:rFonts w:ascii="Times New Roman" w:eastAsia="仿宋_GB2312" w:hAnsi="Times New Roman" w:cs="Times New Roman" w:hint="eastAsia"/>
          <w:kern w:val="2"/>
          <w:sz w:val="32"/>
          <w:szCs w:val="32"/>
          <w:lang w:eastAsia="zh-CN"/>
        </w:rPr>
        <w:t>2024</w:t>
      </w:r>
      <w:r>
        <w:rPr>
          <w:rFonts w:ascii="Times New Roman" w:eastAsia="仿宋_GB2312" w:hAnsi="Times New Roman" w:cs="Times New Roman" w:hint="eastAsia"/>
          <w:kern w:val="2"/>
          <w:sz w:val="32"/>
          <w:szCs w:val="32"/>
          <w:lang w:eastAsia="zh-CN"/>
        </w:rPr>
        <w:t>年预算包含本年度退休人员职业年金做实单位部分</w:t>
      </w:r>
      <w:r>
        <w:rPr>
          <w:rFonts w:ascii="Times New Roman" w:eastAsia="仿宋_GB2312" w:hAnsi="Times New Roman" w:cs="Times New Roman" w:hint="eastAsia"/>
          <w:kern w:val="2"/>
          <w:sz w:val="32"/>
          <w:szCs w:val="32"/>
          <w:lang w:eastAsia="zh-CN"/>
        </w:rPr>
        <w:t>125</w:t>
      </w:r>
      <w:r>
        <w:rPr>
          <w:rFonts w:ascii="Times New Roman" w:eastAsia="仿宋_GB2312" w:hAnsi="Times New Roman" w:cs="Times New Roman" w:hint="eastAsia"/>
          <w:kern w:val="2"/>
          <w:sz w:val="32"/>
          <w:szCs w:val="32"/>
          <w:lang w:eastAsia="zh-CN"/>
        </w:rPr>
        <w:t>万余元</w:t>
      </w:r>
      <w:r>
        <w:rPr>
          <w:rFonts w:ascii="Times New Roman" w:eastAsia="仿宋_GB2312" w:hAnsi="Times New Roman" w:cs="Times New Roman"/>
          <w:kern w:val="2"/>
          <w:sz w:val="32"/>
          <w:szCs w:val="32"/>
          <w:lang w:eastAsia="zh-CN"/>
        </w:rPr>
        <w:t>。</w:t>
      </w:r>
    </w:p>
    <w:p w:rsidR="00E1719B" w:rsidRDefault="008429D3">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3</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卫生健康</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152.55</w:t>
      </w:r>
      <w:r>
        <w:rPr>
          <w:rFonts w:ascii="Times New Roman" w:eastAsia="仿宋_GB2312" w:hAnsi="Times New Roman" w:cs="Times New Roman"/>
          <w:kern w:val="2"/>
          <w:sz w:val="32"/>
          <w:szCs w:val="32"/>
          <w:lang w:eastAsia="zh-CN"/>
        </w:rPr>
        <w:t>万元，主要用于缴纳退休及在职员工的医疗保险和公务员医疗补助。与上年相比</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hint="eastAsia"/>
          <w:kern w:val="2"/>
          <w:sz w:val="32"/>
          <w:szCs w:val="32"/>
          <w:lang w:eastAsia="zh-CN"/>
        </w:rPr>
        <w:t>24.69</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hint="eastAsia"/>
          <w:kern w:val="2"/>
          <w:sz w:val="32"/>
          <w:szCs w:val="32"/>
          <w:lang w:eastAsia="zh-CN"/>
        </w:rPr>
        <w:t>13.93</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kern w:val="2"/>
          <w:sz w:val="32"/>
          <w:szCs w:val="32"/>
          <w:lang w:eastAsia="zh-CN"/>
        </w:rPr>
        <w:t>的主要原因是</w:t>
      </w:r>
      <w:r>
        <w:rPr>
          <w:rFonts w:ascii="Times New Roman" w:eastAsia="仿宋_GB2312" w:hAnsi="Times New Roman" w:cs="Times New Roman" w:hint="eastAsia"/>
          <w:kern w:val="2"/>
          <w:sz w:val="32"/>
          <w:szCs w:val="32"/>
          <w:lang w:eastAsia="zh-CN"/>
        </w:rPr>
        <w:t>2024</w:t>
      </w:r>
      <w:r>
        <w:rPr>
          <w:rFonts w:ascii="Times New Roman" w:eastAsia="仿宋_GB2312" w:hAnsi="Times New Roman" w:cs="Times New Roman" w:hint="eastAsia"/>
          <w:kern w:val="2"/>
          <w:sz w:val="32"/>
          <w:szCs w:val="32"/>
          <w:lang w:eastAsia="zh-CN"/>
        </w:rPr>
        <w:t>年没有疫情防控经费支出，支出减少</w:t>
      </w:r>
      <w:r>
        <w:rPr>
          <w:rFonts w:ascii="Times New Roman" w:eastAsia="仿宋_GB2312" w:hAnsi="Times New Roman" w:cs="Times New Roman"/>
          <w:kern w:val="2"/>
          <w:sz w:val="32"/>
          <w:szCs w:val="32"/>
          <w:lang w:eastAsia="zh-CN"/>
        </w:rPr>
        <w:t>。</w:t>
      </w:r>
    </w:p>
    <w:p w:rsidR="00E1719B" w:rsidRDefault="008429D3">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4</w:t>
      </w:r>
      <w:r>
        <w:rPr>
          <w:rFonts w:ascii="Times New Roman" w:eastAsia="仿宋_GB2312" w:hAnsi="Times New Roman" w:cs="Times New Roman" w:hint="eastAsia"/>
          <w:kern w:val="2"/>
          <w:sz w:val="32"/>
          <w:szCs w:val="32"/>
          <w:lang w:eastAsia="zh-CN"/>
        </w:rPr>
        <w:t>）农林水（类）支出</w:t>
      </w:r>
      <w:r>
        <w:rPr>
          <w:rFonts w:ascii="Times New Roman" w:eastAsia="仿宋_GB2312" w:hAnsi="Times New Roman" w:cs="Times New Roman" w:hint="eastAsia"/>
          <w:kern w:val="2"/>
          <w:sz w:val="32"/>
          <w:szCs w:val="32"/>
          <w:lang w:eastAsia="zh-CN"/>
        </w:rPr>
        <w:t>146.66</w:t>
      </w:r>
      <w:r>
        <w:rPr>
          <w:rFonts w:ascii="Times New Roman" w:eastAsia="仿宋_GB2312" w:hAnsi="Times New Roman" w:cs="Times New Roman" w:hint="eastAsia"/>
          <w:kern w:val="2"/>
          <w:sz w:val="32"/>
          <w:szCs w:val="32"/>
          <w:lang w:eastAsia="zh-CN"/>
        </w:rPr>
        <w:t>万元，主要用于传统奶制品产业发展抽检等支出。与上年相比增加</w:t>
      </w:r>
      <w:r>
        <w:rPr>
          <w:rFonts w:ascii="Times New Roman" w:eastAsia="仿宋_GB2312" w:hAnsi="Times New Roman" w:cs="Times New Roman" w:hint="eastAsia"/>
          <w:kern w:val="2"/>
          <w:sz w:val="32"/>
          <w:szCs w:val="32"/>
          <w:lang w:eastAsia="zh-CN"/>
        </w:rPr>
        <w:t>146.66</w:t>
      </w:r>
      <w:r>
        <w:rPr>
          <w:rFonts w:ascii="Times New Roman" w:eastAsia="仿宋_GB2312" w:hAnsi="Times New Roman" w:cs="Times New Roman" w:hint="eastAsia"/>
          <w:kern w:val="2"/>
          <w:sz w:val="32"/>
          <w:szCs w:val="32"/>
          <w:lang w:eastAsia="zh-CN"/>
        </w:rPr>
        <w:t>万元，增加</w:t>
      </w:r>
      <w:r>
        <w:rPr>
          <w:rFonts w:ascii="Times New Roman" w:eastAsia="仿宋_GB2312" w:hAnsi="Times New Roman" w:cs="Times New Roman" w:hint="eastAsia"/>
          <w:kern w:val="2"/>
          <w:sz w:val="32"/>
          <w:szCs w:val="32"/>
          <w:lang w:eastAsia="zh-CN"/>
        </w:rPr>
        <w:t>100%</w:t>
      </w:r>
      <w:r>
        <w:rPr>
          <w:rFonts w:ascii="Times New Roman" w:eastAsia="仿宋_GB2312" w:hAnsi="Times New Roman" w:cs="Times New Roman" w:hint="eastAsia"/>
          <w:kern w:val="2"/>
          <w:sz w:val="32"/>
          <w:szCs w:val="32"/>
          <w:lang w:eastAsia="zh-CN"/>
        </w:rPr>
        <w:t>。增加的主要原因是</w:t>
      </w:r>
      <w:r>
        <w:rPr>
          <w:rFonts w:ascii="Times New Roman" w:eastAsia="仿宋_GB2312" w:hAnsi="Times New Roman" w:cs="Times New Roman" w:hint="eastAsia"/>
          <w:kern w:val="2"/>
          <w:sz w:val="32"/>
          <w:szCs w:val="32"/>
          <w:lang w:eastAsia="zh-CN"/>
        </w:rPr>
        <w:t>2023</w:t>
      </w:r>
      <w:r>
        <w:rPr>
          <w:rFonts w:ascii="Times New Roman" w:eastAsia="仿宋_GB2312" w:hAnsi="Times New Roman" w:cs="Times New Roman" w:hint="eastAsia"/>
          <w:kern w:val="2"/>
          <w:sz w:val="32"/>
          <w:szCs w:val="32"/>
          <w:lang w:eastAsia="zh-CN"/>
        </w:rPr>
        <w:t>年起传统奶制品产业发展资金由农牧局主管，支出功能分类发生变化。</w:t>
      </w:r>
    </w:p>
    <w:p w:rsidR="00E1719B" w:rsidRDefault="008429D3">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5</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住房保障</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hint="eastAsia"/>
          <w:kern w:val="2"/>
          <w:sz w:val="32"/>
          <w:szCs w:val="32"/>
          <w:lang w:eastAsia="zh-CN"/>
        </w:rPr>
        <w:t>180.73</w:t>
      </w:r>
      <w:r>
        <w:rPr>
          <w:rFonts w:ascii="Times New Roman" w:eastAsia="仿宋_GB2312" w:hAnsi="Times New Roman" w:cs="Times New Roman"/>
          <w:kern w:val="2"/>
          <w:sz w:val="32"/>
          <w:szCs w:val="32"/>
          <w:lang w:eastAsia="zh-CN"/>
        </w:rPr>
        <w:t>万元，主要用于发放新职工住房补贴和缴纳在职人员住房公积金。与上年相比</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9.3</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5.42</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kern w:val="2"/>
          <w:sz w:val="32"/>
          <w:szCs w:val="32"/>
          <w:lang w:eastAsia="zh-CN"/>
        </w:rPr>
        <w:t>的主要原因是</w:t>
      </w:r>
      <w:r>
        <w:rPr>
          <w:rFonts w:ascii="Times New Roman" w:eastAsia="仿宋_GB2312" w:hAnsi="Times New Roman" w:cs="Times New Roman" w:hint="eastAsia"/>
          <w:kern w:val="2"/>
          <w:sz w:val="32"/>
          <w:szCs w:val="32"/>
          <w:lang w:eastAsia="zh-CN"/>
        </w:rPr>
        <w:t>2023</w:t>
      </w:r>
      <w:r>
        <w:rPr>
          <w:rFonts w:ascii="Times New Roman" w:eastAsia="仿宋_GB2312" w:hAnsi="Times New Roman" w:cs="Times New Roman" w:hint="eastAsia"/>
          <w:kern w:val="2"/>
          <w:sz w:val="32"/>
          <w:szCs w:val="32"/>
          <w:lang w:eastAsia="zh-CN"/>
        </w:rPr>
        <w:t>年新进人员和调资的基数变化，导致支出增加</w:t>
      </w:r>
      <w:r>
        <w:rPr>
          <w:rFonts w:ascii="Times New Roman" w:eastAsia="仿宋_GB2312" w:hAnsi="Times New Roman" w:cs="Times New Roman"/>
          <w:kern w:val="2"/>
          <w:sz w:val="32"/>
          <w:szCs w:val="32"/>
          <w:lang w:eastAsia="zh-CN"/>
        </w:rPr>
        <w:t>。</w:t>
      </w:r>
    </w:p>
    <w:p w:rsidR="00E1719B" w:rsidRDefault="008429D3">
      <w:pPr>
        <w:pStyle w:val="11"/>
        <w:tabs>
          <w:tab w:val="left" w:pos="1772"/>
        </w:tabs>
        <w:spacing w:before="202" w:line="600" w:lineRule="atLeast"/>
        <w:ind w:left="0" w:right="662"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6</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其他收入支出</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万元，与上年相比增加</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万元，主要原因是本年度无其他收入类支出。</w:t>
      </w:r>
    </w:p>
    <w:p w:rsidR="00E1719B" w:rsidRDefault="008429D3">
      <w:pPr>
        <w:pStyle w:val="11"/>
        <w:tabs>
          <w:tab w:val="left" w:pos="1580"/>
        </w:tabs>
        <w:spacing w:before="206" w:line="600" w:lineRule="atLeast"/>
        <w:ind w:left="0" w:right="596"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2</w:t>
      </w:r>
      <w:r>
        <w:rPr>
          <w:rFonts w:ascii="Times New Roman" w:eastAsia="仿宋_GB2312" w:hAnsi="Times New Roman" w:cs="Times New Roman"/>
          <w:kern w:val="2"/>
          <w:sz w:val="32"/>
          <w:szCs w:val="32"/>
          <w:lang w:eastAsia="zh-CN"/>
        </w:rPr>
        <w:t>．年终结转结余为</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万元，主要原因是预计当年经费将在本</w:t>
      </w:r>
      <w:r>
        <w:rPr>
          <w:rFonts w:ascii="Times New Roman" w:eastAsia="仿宋_GB2312" w:hAnsi="Times New Roman" w:cs="Times New Roman"/>
          <w:kern w:val="2"/>
          <w:sz w:val="32"/>
          <w:szCs w:val="32"/>
          <w:lang w:eastAsia="zh-CN"/>
        </w:rPr>
        <w:lastRenderedPageBreak/>
        <w:t>年全部支出完毕，因此没有年终结转结余。</w:t>
      </w: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二、收入预算情况说明</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年收入预算合计</w:t>
      </w:r>
      <w:r>
        <w:rPr>
          <w:rFonts w:eastAsia="仿宋_GB2312" w:hint="eastAsia"/>
          <w:sz w:val="32"/>
          <w:szCs w:val="32"/>
        </w:rPr>
        <w:t>3673.78</w:t>
      </w:r>
      <w:r>
        <w:rPr>
          <w:rFonts w:eastAsia="仿宋_GB2312"/>
          <w:sz w:val="32"/>
          <w:szCs w:val="32"/>
        </w:rPr>
        <w:t>万元，包括本年收入</w:t>
      </w:r>
      <w:r>
        <w:rPr>
          <w:rFonts w:eastAsia="仿宋_GB2312" w:hint="eastAsia"/>
          <w:sz w:val="32"/>
          <w:szCs w:val="32"/>
        </w:rPr>
        <w:t>3136.68</w:t>
      </w:r>
      <w:r>
        <w:rPr>
          <w:rFonts w:eastAsia="仿宋_GB2312"/>
          <w:sz w:val="32"/>
          <w:szCs w:val="32"/>
        </w:rPr>
        <w:t>万元，上年结转结余</w:t>
      </w:r>
      <w:r>
        <w:rPr>
          <w:rFonts w:eastAsia="仿宋_GB2312" w:hint="eastAsia"/>
          <w:sz w:val="32"/>
          <w:szCs w:val="32"/>
        </w:rPr>
        <w:t>537.1</w:t>
      </w:r>
      <w:r>
        <w:rPr>
          <w:rFonts w:eastAsia="仿宋_GB2312"/>
          <w:sz w:val="32"/>
          <w:szCs w:val="32"/>
        </w:rPr>
        <w:t>万元。其中：</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rPr>
        <w:t>3136.68</w:t>
      </w:r>
      <w:r>
        <w:rPr>
          <w:rFonts w:eastAsia="仿宋_GB2312"/>
          <w:sz w:val="32"/>
          <w:szCs w:val="32"/>
        </w:rPr>
        <w:t>万元，占</w:t>
      </w:r>
      <w:r>
        <w:rPr>
          <w:rFonts w:eastAsia="仿宋_GB2312" w:hint="eastAsia"/>
          <w:sz w:val="32"/>
          <w:szCs w:val="32"/>
        </w:rPr>
        <w:t>85.38</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本年政府性基金预算收入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本年上级补助收入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rPr>
        <w:t>537.1</w:t>
      </w:r>
      <w:r>
        <w:rPr>
          <w:rFonts w:eastAsia="仿宋_GB2312"/>
          <w:sz w:val="32"/>
          <w:szCs w:val="32"/>
        </w:rPr>
        <w:t>万元，占</w:t>
      </w:r>
      <w:r>
        <w:rPr>
          <w:rFonts w:eastAsia="仿宋_GB2312" w:hint="eastAsia"/>
          <w:sz w:val="32"/>
          <w:szCs w:val="32"/>
        </w:rPr>
        <w:t>14.62</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ab/>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上年结转结余的单位资金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hint="eastAsia"/>
          <w:sz w:val="32"/>
          <w:szCs w:val="32"/>
        </w:rPr>
        <w:t>。</w:t>
      </w:r>
    </w:p>
    <w:p w:rsidR="00E1719B" w:rsidRDefault="008429D3">
      <w:pPr>
        <w:spacing w:line="600" w:lineRule="atLeast"/>
        <w:ind w:firstLineChars="200" w:firstLine="640"/>
        <w:outlineLvl w:val="0"/>
        <w:rPr>
          <w:rFonts w:ascii="仿宋_GB2312" w:eastAsia="仿宋_GB2312" w:hAnsi="仿宋_GB2312"/>
          <w:b/>
          <w:bCs/>
          <w:i/>
          <w:iCs/>
          <w:color w:val="FF0000"/>
          <w:sz w:val="32"/>
          <w:szCs w:val="24"/>
          <w:highlight w:val="yellow"/>
        </w:rPr>
      </w:pPr>
      <w:r>
        <w:rPr>
          <w:rFonts w:eastAsia="黑体" w:cs="黑体" w:hint="eastAsia"/>
          <w:noProof/>
          <w:sz w:val="32"/>
          <w:szCs w:val="36"/>
        </w:rPr>
        <w:drawing>
          <wp:anchor distT="0" distB="0" distL="114300" distR="114300" simplePos="0" relativeHeight="251659264" behindDoc="0" locked="0" layoutInCell="1" allowOverlap="1">
            <wp:simplePos x="0" y="0"/>
            <wp:positionH relativeFrom="column">
              <wp:posOffset>664845</wp:posOffset>
            </wp:positionH>
            <wp:positionV relativeFrom="paragraph">
              <wp:posOffset>302895</wp:posOffset>
            </wp:positionV>
            <wp:extent cx="3519170" cy="2350135"/>
            <wp:effectExtent l="5080" t="4445" r="19050" b="762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1719B" w:rsidRDefault="00E1719B">
      <w:pPr>
        <w:pStyle w:val="2"/>
        <w:spacing w:line="600" w:lineRule="atLeast"/>
        <w:rPr>
          <w:rFonts w:ascii="仿宋_GB2312" w:eastAsia="仿宋_GB2312" w:hAnsi="仿宋_GB2312" w:hint="default"/>
          <w:b/>
          <w:bCs/>
          <w:i/>
          <w:iCs/>
          <w:color w:val="FF0000"/>
          <w:sz w:val="32"/>
          <w:highlight w:val="yellow"/>
        </w:rPr>
      </w:pPr>
    </w:p>
    <w:p w:rsidR="00E1719B" w:rsidRDefault="00E1719B">
      <w:pPr>
        <w:pStyle w:val="2"/>
        <w:spacing w:line="600" w:lineRule="atLeast"/>
        <w:rPr>
          <w:rFonts w:ascii="仿宋_GB2312" w:eastAsia="仿宋_GB2312" w:hAnsi="仿宋_GB2312" w:hint="default"/>
          <w:b/>
          <w:bCs/>
          <w:i/>
          <w:iCs/>
          <w:color w:val="FF0000"/>
          <w:sz w:val="32"/>
          <w:highlight w:val="yellow"/>
        </w:rPr>
      </w:pPr>
    </w:p>
    <w:p w:rsidR="00E1719B" w:rsidRDefault="00E1719B">
      <w:pPr>
        <w:spacing w:line="600" w:lineRule="atLeast"/>
        <w:outlineLvl w:val="0"/>
        <w:rPr>
          <w:rFonts w:eastAsia="黑体" w:cs="黑体"/>
          <w:sz w:val="32"/>
          <w:szCs w:val="36"/>
        </w:rPr>
      </w:pP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三、支出预算情</w:t>
      </w:r>
      <w:r>
        <w:rPr>
          <w:rFonts w:eastAsia="黑体" w:cs="黑体" w:hint="eastAsia"/>
          <w:sz w:val="32"/>
          <w:szCs w:val="36"/>
        </w:rPr>
        <w:lastRenderedPageBreak/>
        <w:t>况说明</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年支出预算合计</w:t>
      </w:r>
      <w:r>
        <w:rPr>
          <w:rFonts w:eastAsia="仿宋_GB2312" w:hint="eastAsia"/>
          <w:sz w:val="32"/>
          <w:szCs w:val="32"/>
        </w:rPr>
        <w:t>3673.78</w:t>
      </w:r>
      <w:r>
        <w:rPr>
          <w:rFonts w:eastAsia="仿宋_GB2312"/>
          <w:sz w:val="32"/>
          <w:szCs w:val="32"/>
        </w:rPr>
        <w:t>万元，其中：</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基本支出</w:t>
      </w:r>
      <w:r>
        <w:rPr>
          <w:rFonts w:eastAsia="仿宋_GB2312" w:hint="eastAsia"/>
          <w:sz w:val="32"/>
          <w:szCs w:val="32"/>
        </w:rPr>
        <w:t>2547.38</w:t>
      </w:r>
      <w:r>
        <w:rPr>
          <w:rFonts w:eastAsia="仿宋_GB2312"/>
          <w:sz w:val="32"/>
          <w:szCs w:val="32"/>
        </w:rPr>
        <w:t>万元，占</w:t>
      </w:r>
      <w:r>
        <w:rPr>
          <w:rFonts w:eastAsia="仿宋_GB2312" w:hint="eastAsia"/>
          <w:sz w:val="32"/>
          <w:szCs w:val="32"/>
        </w:rPr>
        <w:t>69.34</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项目支出</w:t>
      </w:r>
      <w:r>
        <w:rPr>
          <w:rFonts w:eastAsia="仿宋_GB2312" w:hint="eastAsia"/>
          <w:sz w:val="32"/>
          <w:szCs w:val="32"/>
        </w:rPr>
        <w:t>1126.4</w:t>
      </w:r>
      <w:r>
        <w:rPr>
          <w:rFonts w:eastAsia="仿宋_GB2312"/>
          <w:sz w:val="32"/>
          <w:szCs w:val="32"/>
        </w:rPr>
        <w:t>万元，占</w:t>
      </w:r>
      <w:r>
        <w:rPr>
          <w:rFonts w:eastAsia="仿宋_GB2312" w:hint="eastAsia"/>
          <w:sz w:val="32"/>
          <w:szCs w:val="32"/>
        </w:rPr>
        <w:t>30.66</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事业单位经营支出</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E1719B" w:rsidRDefault="008429D3">
      <w:pPr>
        <w:spacing w:line="600" w:lineRule="atLeast"/>
        <w:ind w:firstLineChars="200" w:firstLine="640"/>
        <w:outlineLvl w:val="0"/>
        <w:rPr>
          <w:rFonts w:eastAsia="黑体" w:cs="黑体"/>
          <w:sz w:val="32"/>
          <w:szCs w:val="36"/>
        </w:rPr>
      </w:pPr>
      <w:r>
        <w:rPr>
          <w:rFonts w:eastAsia="黑体" w:cs="黑体" w:hint="eastAsia"/>
          <w:noProof/>
          <w:sz w:val="32"/>
          <w:szCs w:val="36"/>
        </w:rPr>
        <w:drawing>
          <wp:anchor distT="0" distB="0" distL="114300" distR="114300" simplePos="0" relativeHeight="251660288" behindDoc="0" locked="0" layoutInCell="1" allowOverlap="1">
            <wp:simplePos x="0" y="0"/>
            <wp:positionH relativeFrom="column">
              <wp:posOffset>750570</wp:posOffset>
            </wp:positionH>
            <wp:positionV relativeFrom="paragraph">
              <wp:posOffset>334645</wp:posOffset>
            </wp:positionV>
            <wp:extent cx="3957955" cy="3267075"/>
            <wp:effectExtent l="4445" t="5080" r="19050" b="44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E1719B">
      <w:pPr>
        <w:spacing w:line="600" w:lineRule="atLeast"/>
        <w:ind w:firstLineChars="200" w:firstLine="640"/>
        <w:outlineLvl w:val="0"/>
        <w:rPr>
          <w:rFonts w:eastAsia="黑体" w:cs="黑体"/>
          <w:sz w:val="32"/>
          <w:szCs w:val="36"/>
        </w:rPr>
      </w:pP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年度财政拨款收、支总预算</w:t>
      </w:r>
      <w:r>
        <w:rPr>
          <w:rFonts w:eastAsia="仿宋_GB2312"/>
          <w:sz w:val="32"/>
          <w:szCs w:val="32"/>
        </w:rPr>
        <w:t xml:space="preserve">    </w:t>
      </w:r>
      <w:r>
        <w:rPr>
          <w:rFonts w:eastAsia="仿宋_GB2312" w:hint="eastAsia"/>
          <w:sz w:val="32"/>
          <w:szCs w:val="32"/>
        </w:rPr>
        <w:t>3673.78</w:t>
      </w:r>
      <w:r>
        <w:rPr>
          <w:rFonts w:eastAsia="仿宋_GB2312"/>
          <w:sz w:val="32"/>
          <w:szCs w:val="32"/>
        </w:rPr>
        <w:t>万元。与上年相比，财政拨款收、支总计各增加</w:t>
      </w:r>
      <w:r>
        <w:rPr>
          <w:rFonts w:eastAsia="仿宋_GB2312" w:hint="eastAsia"/>
          <w:sz w:val="32"/>
          <w:szCs w:val="32"/>
        </w:rPr>
        <w:t>447.01</w:t>
      </w:r>
      <w:r>
        <w:rPr>
          <w:rFonts w:eastAsia="仿宋_GB2312"/>
          <w:sz w:val="32"/>
          <w:szCs w:val="32"/>
        </w:rPr>
        <w:t>万元，增长</w:t>
      </w:r>
      <w:r>
        <w:rPr>
          <w:rFonts w:eastAsia="仿宋_GB2312" w:hint="eastAsia"/>
          <w:sz w:val="32"/>
          <w:szCs w:val="32"/>
        </w:rPr>
        <w:t>16.62</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lastRenderedPageBreak/>
        <w:t>221.3</w:t>
      </w:r>
      <w:r>
        <w:rPr>
          <w:rFonts w:eastAsia="仿宋_GB2312" w:hint="eastAsia"/>
          <w:sz w:val="32"/>
          <w:szCs w:val="32"/>
        </w:rPr>
        <w:t>万元，所以总体较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E1719B" w:rsidRDefault="008429D3">
      <w:pPr>
        <w:pStyle w:val="a5"/>
        <w:tabs>
          <w:tab w:val="left" w:pos="4275"/>
        </w:tabs>
        <w:spacing w:after="0" w:line="60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（一）财政拨款收入预算总计3673.78万元。包括：</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rPr>
        <w:t>3136.68</w:t>
      </w:r>
      <w:r>
        <w:rPr>
          <w:rFonts w:eastAsia="仿宋_GB2312"/>
          <w:sz w:val="32"/>
          <w:szCs w:val="32"/>
        </w:rPr>
        <w:t>万元。</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rPr>
        <w:t>3136.68</w:t>
      </w:r>
      <w:r>
        <w:rPr>
          <w:rFonts w:eastAsia="仿宋_GB2312"/>
          <w:sz w:val="32"/>
          <w:szCs w:val="32"/>
        </w:rPr>
        <w:t>万元，与上年相比增加</w:t>
      </w:r>
      <w:r>
        <w:rPr>
          <w:rFonts w:eastAsia="仿宋_GB2312" w:hint="eastAsia"/>
          <w:sz w:val="32"/>
          <w:szCs w:val="32"/>
        </w:rPr>
        <w:t>447.01</w:t>
      </w:r>
      <w:r>
        <w:rPr>
          <w:rFonts w:eastAsia="仿宋_GB2312"/>
          <w:sz w:val="32"/>
          <w:szCs w:val="32"/>
        </w:rPr>
        <w:t>万元，增长</w:t>
      </w:r>
      <w:r>
        <w:rPr>
          <w:rFonts w:eastAsia="仿宋_GB2312" w:hint="eastAsia"/>
          <w:sz w:val="32"/>
          <w:szCs w:val="32"/>
        </w:rPr>
        <w:t>16.62</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本单位无政府性基金预算拨款收入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国有资本经营</w:t>
      </w:r>
      <w:r>
        <w:rPr>
          <w:rFonts w:eastAsia="仿宋_GB2312" w:hint="eastAsia"/>
          <w:sz w:val="32"/>
          <w:szCs w:val="32"/>
        </w:rPr>
        <w:t>预算拨款收入</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rPr>
        <w:t>537.1</w:t>
      </w:r>
      <w:r>
        <w:rPr>
          <w:rFonts w:eastAsia="仿宋_GB2312"/>
          <w:sz w:val="32"/>
          <w:szCs w:val="32"/>
        </w:rPr>
        <w:t>万元。与上年相比增加</w:t>
      </w:r>
      <w:r>
        <w:rPr>
          <w:rFonts w:eastAsia="仿宋_GB2312" w:hint="eastAsia"/>
          <w:sz w:val="32"/>
          <w:szCs w:val="32"/>
        </w:rPr>
        <w:t>305.3</w:t>
      </w:r>
      <w:r>
        <w:rPr>
          <w:rFonts w:eastAsia="仿宋_GB2312"/>
          <w:sz w:val="32"/>
          <w:szCs w:val="32"/>
        </w:rPr>
        <w:t>万元，增长</w:t>
      </w:r>
      <w:r>
        <w:rPr>
          <w:rFonts w:eastAsia="仿宋_GB2312" w:hint="eastAsia"/>
          <w:sz w:val="32"/>
          <w:szCs w:val="32"/>
        </w:rPr>
        <w:t>131.7</w:t>
      </w:r>
      <w:r>
        <w:rPr>
          <w:rFonts w:eastAsia="仿宋_GB2312"/>
          <w:sz w:val="32"/>
          <w:szCs w:val="32"/>
        </w:rPr>
        <w:t>%</w:t>
      </w:r>
      <w:r>
        <w:rPr>
          <w:rFonts w:eastAsia="仿宋_GB2312"/>
          <w:sz w:val="32"/>
          <w:szCs w:val="32"/>
        </w:rPr>
        <w:t>。主要原因是</w:t>
      </w:r>
      <w:r>
        <w:rPr>
          <w:rFonts w:eastAsia="仿宋_GB2312" w:hint="eastAsia"/>
          <w:sz w:val="32"/>
          <w:szCs w:val="32"/>
        </w:rPr>
        <w:t>2023</w:t>
      </w:r>
      <w:r>
        <w:rPr>
          <w:rFonts w:eastAsia="仿宋_GB2312" w:hint="eastAsia"/>
          <w:sz w:val="32"/>
          <w:szCs w:val="32"/>
        </w:rPr>
        <w:t>年结转创建国家食品安全示范城市工作资金</w:t>
      </w:r>
      <w:r>
        <w:rPr>
          <w:rFonts w:eastAsia="仿宋_GB2312" w:hint="eastAsia"/>
          <w:sz w:val="32"/>
          <w:szCs w:val="32"/>
        </w:rPr>
        <w:t>285.07</w:t>
      </w:r>
      <w:r>
        <w:rPr>
          <w:rFonts w:eastAsia="仿宋_GB2312" w:hint="eastAsia"/>
          <w:sz w:val="32"/>
          <w:szCs w:val="32"/>
        </w:rPr>
        <w:t>万元及办公楼维修项目</w:t>
      </w:r>
      <w:r>
        <w:rPr>
          <w:rFonts w:eastAsia="仿宋_GB2312" w:hint="eastAsia"/>
          <w:sz w:val="32"/>
          <w:szCs w:val="32"/>
        </w:rPr>
        <w:t>180</w:t>
      </w:r>
      <w:r>
        <w:rPr>
          <w:rFonts w:eastAsia="仿宋_GB2312" w:hint="eastAsia"/>
          <w:sz w:val="32"/>
          <w:szCs w:val="32"/>
        </w:rPr>
        <w:t>万元</w:t>
      </w:r>
      <w:r>
        <w:rPr>
          <w:rFonts w:eastAsia="仿宋_GB2312"/>
          <w:sz w:val="32"/>
          <w:szCs w:val="32"/>
        </w:rPr>
        <w:t>。</w:t>
      </w:r>
    </w:p>
    <w:p w:rsidR="00E1719B" w:rsidRDefault="008429D3">
      <w:pPr>
        <w:pStyle w:val="a5"/>
        <w:tabs>
          <w:tab w:val="left" w:pos="4275"/>
        </w:tabs>
        <w:spacing w:after="0" w:line="60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（二）财政拨款支出预算总计3673.78万元。包括：</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rPr>
        <w:t>3673.78</w:t>
      </w:r>
      <w:r>
        <w:rPr>
          <w:rFonts w:eastAsia="仿宋_GB2312"/>
          <w:sz w:val="32"/>
          <w:szCs w:val="32"/>
        </w:rPr>
        <w:t>万元。</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rPr>
        <w:t>2768.09</w:t>
      </w:r>
      <w:r>
        <w:rPr>
          <w:rFonts w:eastAsia="仿宋_GB2312"/>
          <w:sz w:val="32"/>
          <w:szCs w:val="32"/>
        </w:rPr>
        <w:t>万元，主要用于保障机构正常运转、完成工作任务而发生的人员支出、公用支出和专项业务、质量检验工作支出以及特种设备及电梯运营监控系统等方面支出。与上年相比增加</w:t>
      </w:r>
      <w:r>
        <w:rPr>
          <w:rFonts w:eastAsia="仿宋_GB2312" w:hint="eastAsia"/>
          <w:sz w:val="32"/>
          <w:szCs w:val="32"/>
        </w:rPr>
        <w:t>487.4</w:t>
      </w:r>
      <w:r>
        <w:rPr>
          <w:rFonts w:eastAsia="仿宋_GB2312"/>
          <w:sz w:val="32"/>
          <w:szCs w:val="32"/>
        </w:rPr>
        <w:t>万元，增长</w:t>
      </w:r>
      <w:r>
        <w:rPr>
          <w:rFonts w:eastAsia="仿宋_GB2312" w:hint="eastAsia"/>
          <w:sz w:val="32"/>
          <w:szCs w:val="32"/>
        </w:rPr>
        <w:t>21.37</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）社会保障和就业</w:t>
      </w:r>
      <w:r>
        <w:rPr>
          <w:rFonts w:eastAsia="仿宋_GB2312"/>
          <w:sz w:val="32"/>
          <w:szCs w:val="32"/>
        </w:rPr>
        <w:t xml:space="preserve"> (</w:t>
      </w:r>
      <w:r>
        <w:rPr>
          <w:rFonts w:eastAsia="仿宋_GB2312"/>
          <w:sz w:val="32"/>
          <w:szCs w:val="32"/>
        </w:rPr>
        <w:t>类</w:t>
      </w:r>
      <w:r>
        <w:rPr>
          <w:rFonts w:eastAsia="仿宋_GB2312"/>
          <w:sz w:val="32"/>
          <w:szCs w:val="32"/>
        </w:rPr>
        <w:t xml:space="preserve">) </w:t>
      </w:r>
      <w:r>
        <w:rPr>
          <w:rFonts w:eastAsia="仿宋_GB2312"/>
          <w:sz w:val="32"/>
          <w:szCs w:val="32"/>
        </w:rPr>
        <w:t>支出</w:t>
      </w:r>
      <w:r>
        <w:rPr>
          <w:rFonts w:eastAsia="仿宋_GB2312" w:hint="eastAsia"/>
          <w:sz w:val="32"/>
          <w:szCs w:val="32"/>
        </w:rPr>
        <w:t>425.74</w:t>
      </w:r>
      <w:r>
        <w:rPr>
          <w:rFonts w:eastAsia="仿宋_GB2312"/>
          <w:sz w:val="32"/>
          <w:szCs w:val="32"/>
        </w:rPr>
        <w:t>万元，主要用于发放离休</w:t>
      </w:r>
      <w:r>
        <w:rPr>
          <w:rFonts w:eastAsia="仿宋_GB2312"/>
          <w:sz w:val="32"/>
          <w:szCs w:val="32"/>
        </w:rPr>
        <w:lastRenderedPageBreak/>
        <w:t>人员工资和缴纳在职人员养老保险等。与上年相比</w:t>
      </w:r>
      <w:r>
        <w:rPr>
          <w:rFonts w:eastAsia="仿宋_GB2312" w:hint="eastAsia"/>
          <w:sz w:val="32"/>
          <w:szCs w:val="32"/>
        </w:rPr>
        <w:t>增加</w:t>
      </w:r>
      <w:r>
        <w:rPr>
          <w:rFonts w:eastAsia="仿宋_GB2312" w:hint="eastAsia"/>
          <w:sz w:val="32"/>
          <w:szCs w:val="32"/>
        </w:rPr>
        <w:t>133.63</w:t>
      </w:r>
      <w:r>
        <w:rPr>
          <w:rFonts w:eastAsia="仿宋_GB2312"/>
          <w:sz w:val="32"/>
          <w:szCs w:val="32"/>
        </w:rPr>
        <w:t>万元，</w:t>
      </w:r>
      <w:r>
        <w:rPr>
          <w:rFonts w:eastAsia="仿宋_GB2312" w:hint="eastAsia"/>
          <w:sz w:val="32"/>
          <w:szCs w:val="32"/>
        </w:rPr>
        <w:t>增加</w:t>
      </w:r>
      <w:r>
        <w:rPr>
          <w:rFonts w:eastAsia="仿宋_GB2312" w:hint="eastAsia"/>
          <w:sz w:val="32"/>
          <w:szCs w:val="32"/>
        </w:rPr>
        <w:t>45.74</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年预算包含本年度退休人员职业年金做实单位部分</w:t>
      </w:r>
      <w:r>
        <w:rPr>
          <w:rFonts w:eastAsia="仿宋_GB2312" w:hint="eastAsia"/>
          <w:sz w:val="32"/>
          <w:szCs w:val="32"/>
        </w:rPr>
        <w:t>125</w:t>
      </w:r>
      <w:r>
        <w:rPr>
          <w:rFonts w:eastAsia="仿宋_GB2312" w:hint="eastAsia"/>
          <w:sz w:val="32"/>
          <w:szCs w:val="32"/>
        </w:rPr>
        <w:t>万余元</w:t>
      </w:r>
      <w:r>
        <w:rPr>
          <w:rFonts w:eastAsia="仿宋_GB2312"/>
          <w:sz w:val="32"/>
          <w:szCs w:val="32"/>
        </w:rPr>
        <w:t>。</w:t>
      </w:r>
    </w:p>
    <w:p w:rsidR="00E1719B" w:rsidRDefault="008429D3">
      <w:pPr>
        <w:pStyle w:val="11"/>
        <w:tabs>
          <w:tab w:val="left" w:pos="1772"/>
        </w:tabs>
        <w:spacing w:before="34" w:line="600" w:lineRule="atLeast"/>
        <w:ind w:left="0" w:right="437" w:firstLineChars="200" w:firstLine="640"/>
        <w:rPr>
          <w:rFonts w:eastAsia="仿宋_GB2312" w:cs="Times New Roman"/>
          <w:sz w:val="32"/>
          <w:szCs w:val="32"/>
          <w:lang w:eastAsia="zh-CN"/>
        </w:rPr>
      </w:pPr>
      <w:r>
        <w:rPr>
          <w:rFonts w:eastAsia="仿宋_GB2312" w:cs="Times New Roman" w:hint="eastAsia"/>
          <w:sz w:val="32"/>
          <w:szCs w:val="32"/>
          <w:lang w:eastAsia="zh-CN"/>
        </w:rPr>
        <w:t>（</w:t>
      </w:r>
      <w:r>
        <w:rPr>
          <w:rFonts w:eastAsia="仿宋_GB2312" w:cs="Times New Roman" w:hint="eastAsia"/>
          <w:sz w:val="32"/>
          <w:szCs w:val="32"/>
          <w:lang w:eastAsia="zh-CN"/>
        </w:rPr>
        <w:t>3</w:t>
      </w:r>
      <w:r>
        <w:rPr>
          <w:rFonts w:eastAsia="仿宋_GB2312" w:cs="Times New Roman" w:hint="eastAsia"/>
          <w:sz w:val="32"/>
          <w:szCs w:val="32"/>
          <w:lang w:eastAsia="zh-CN"/>
        </w:rPr>
        <w:t>）</w:t>
      </w:r>
      <w:r>
        <w:rPr>
          <w:rFonts w:eastAsia="仿宋_GB2312" w:cs="Times New Roman"/>
          <w:sz w:val="32"/>
          <w:szCs w:val="32"/>
          <w:lang w:eastAsia="zh-CN"/>
        </w:rPr>
        <w:t>卫生健康</w:t>
      </w:r>
      <w:r>
        <w:rPr>
          <w:rFonts w:eastAsia="仿宋_GB2312" w:cs="Times New Roman"/>
          <w:sz w:val="32"/>
          <w:szCs w:val="32"/>
          <w:lang w:eastAsia="zh-CN"/>
        </w:rPr>
        <w:t xml:space="preserve"> (</w:t>
      </w:r>
      <w:r>
        <w:rPr>
          <w:rFonts w:eastAsia="仿宋_GB2312" w:cs="Times New Roman"/>
          <w:sz w:val="32"/>
          <w:szCs w:val="32"/>
          <w:lang w:eastAsia="zh-CN"/>
        </w:rPr>
        <w:t>类</w:t>
      </w:r>
      <w:r>
        <w:rPr>
          <w:rFonts w:eastAsia="仿宋_GB2312" w:cs="Times New Roman"/>
          <w:sz w:val="32"/>
          <w:szCs w:val="32"/>
          <w:lang w:eastAsia="zh-CN"/>
        </w:rPr>
        <w:t xml:space="preserve">) </w:t>
      </w:r>
      <w:r>
        <w:rPr>
          <w:rFonts w:eastAsia="仿宋_GB2312" w:cs="Times New Roman"/>
          <w:sz w:val="32"/>
          <w:szCs w:val="32"/>
          <w:lang w:eastAsia="zh-CN"/>
        </w:rPr>
        <w:t>支出</w:t>
      </w:r>
      <w:r>
        <w:rPr>
          <w:rFonts w:eastAsia="仿宋_GB2312" w:cs="Times New Roman" w:hint="eastAsia"/>
          <w:sz w:val="32"/>
          <w:szCs w:val="32"/>
          <w:lang w:eastAsia="zh-CN"/>
        </w:rPr>
        <w:t>152.55</w:t>
      </w:r>
      <w:r>
        <w:rPr>
          <w:rFonts w:eastAsia="仿宋_GB2312" w:cs="Times New Roman"/>
          <w:sz w:val="32"/>
          <w:szCs w:val="32"/>
          <w:lang w:eastAsia="zh-CN"/>
        </w:rPr>
        <w:t>万元，主要用于缴纳退休及在职员工的医疗保险和公务员医疗补助。与上年相比</w:t>
      </w:r>
      <w:r>
        <w:rPr>
          <w:rFonts w:eastAsia="仿宋_GB2312" w:cs="Times New Roman" w:hint="eastAsia"/>
          <w:sz w:val="32"/>
          <w:szCs w:val="32"/>
          <w:lang w:eastAsia="zh-CN"/>
        </w:rPr>
        <w:t>减少</w:t>
      </w:r>
      <w:r>
        <w:rPr>
          <w:rFonts w:eastAsia="仿宋_GB2312" w:cs="Times New Roman" w:hint="eastAsia"/>
          <w:sz w:val="32"/>
          <w:szCs w:val="32"/>
          <w:lang w:eastAsia="zh-CN"/>
        </w:rPr>
        <w:t>24.69</w:t>
      </w:r>
      <w:r>
        <w:rPr>
          <w:rFonts w:eastAsia="仿宋_GB2312" w:cs="Times New Roman"/>
          <w:sz w:val="32"/>
          <w:szCs w:val="32"/>
          <w:lang w:eastAsia="zh-CN"/>
        </w:rPr>
        <w:t>万元，</w:t>
      </w:r>
      <w:r>
        <w:rPr>
          <w:rFonts w:eastAsia="仿宋_GB2312" w:cs="Times New Roman" w:hint="eastAsia"/>
          <w:sz w:val="32"/>
          <w:szCs w:val="32"/>
          <w:lang w:eastAsia="zh-CN"/>
        </w:rPr>
        <w:t>减少</w:t>
      </w:r>
      <w:r>
        <w:rPr>
          <w:rFonts w:eastAsia="仿宋_GB2312" w:cs="Times New Roman" w:hint="eastAsia"/>
          <w:sz w:val="32"/>
          <w:szCs w:val="32"/>
          <w:lang w:eastAsia="zh-CN"/>
        </w:rPr>
        <w:t>13.93</w:t>
      </w:r>
      <w:r>
        <w:rPr>
          <w:rFonts w:eastAsia="仿宋_GB2312" w:cs="Times New Roman"/>
          <w:sz w:val="32"/>
          <w:szCs w:val="32"/>
          <w:lang w:eastAsia="zh-CN"/>
        </w:rPr>
        <w:t>%</w:t>
      </w:r>
      <w:r>
        <w:rPr>
          <w:rFonts w:eastAsia="仿宋_GB2312" w:cs="Times New Roman"/>
          <w:sz w:val="32"/>
          <w:szCs w:val="32"/>
          <w:lang w:eastAsia="zh-CN"/>
        </w:rPr>
        <w:t>。</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kern w:val="2"/>
          <w:sz w:val="32"/>
          <w:szCs w:val="32"/>
          <w:lang w:eastAsia="zh-CN"/>
        </w:rPr>
        <w:t>的主要原因是</w:t>
      </w:r>
      <w:r>
        <w:rPr>
          <w:rFonts w:ascii="Times New Roman" w:eastAsia="仿宋_GB2312" w:hAnsi="Times New Roman" w:cs="Times New Roman" w:hint="eastAsia"/>
          <w:kern w:val="2"/>
          <w:sz w:val="32"/>
          <w:szCs w:val="32"/>
          <w:lang w:eastAsia="zh-CN"/>
        </w:rPr>
        <w:t>2024</w:t>
      </w:r>
      <w:r>
        <w:rPr>
          <w:rFonts w:ascii="Times New Roman" w:eastAsia="仿宋_GB2312" w:hAnsi="Times New Roman" w:cs="Times New Roman" w:hint="eastAsia"/>
          <w:kern w:val="2"/>
          <w:sz w:val="32"/>
          <w:szCs w:val="32"/>
          <w:lang w:eastAsia="zh-CN"/>
        </w:rPr>
        <w:t>年没有疫情防控经费支出，支出减少</w:t>
      </w:r>
      <w:r>
        <w:rPr>
          <w:rFonts w:eastAsia="仿宋_GB2312" w:cs="Times New Roman"/>
          <w:sz w:val="32"/>
          <w:szCs w:val="32"/>
          <w:lang w:eastAsia="zh-CN"/>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）农林水（类）支出</w:t>
      </w:r>
      <w:r>
        <w:rPr>
          <w:rFonts w:eastAsia="仿宋_GB2312" w:hint="eastAsia"/>
          <w:sz w:val="32"/>
          <w:szCs w:val="32"/>
        </w:rPr>
        <w:t>146.66</w:t>
      </w:r>
      <w:r>
        <w:rPr>
          <w:rFonts w:eastAsia="仿宋_GB2312" w:hint="eastAsia"/>
          <w:sz w:val="32"/>
          <w:szCs w:val="32"/>
        </w:rPr>
        <w:t>万元，主要用于传统奶制品产业发展抽检等支出。与上年相比增加</w:t>
      </w:r>
      <w:r>
        <w:rPr>
          <w:rFonts w:eastAsia="仿宋_GB2312" w:hint="eastAsia"/>
          <w:sz w:val="32"/>
          <w:szCs w:val="32"/>
        </w:rPr>
        <w:t>146.66</w:t>
      </w:r>
      <w:r>
        <w:rPr>
          <w:rFonts w:eastAsia="仿宋_GB2312" w:hint="eastAsia"/>
          <w:sz w:val="32"/>
          <w:szCs w:val="32"/>
        </w:rPr>
        <w:t>万元，增加</w:t>
      </w:r>
      <w:r>
        <w:rPr>
          <w:rFonts w:eastAsia="仿宋_GB2312" w:hint="eastAsia"/>
          <w:sz w:val="32"/>
          <w:szCs w:val="32"/>
        </w:rPr>
        <w:t>100%</w:t>
      </w:r>
      <w:r>
        <w:rPr>
          <w:rFonts w:eastAsia="仿宋_GB2312" w:hint="eastAsia"/>
          <w:sz w:val="32"/>
          <w:szCs w:val="32"/>
        </w:rPr>
        <w:t>。增加的主要原因是</w:t>
      </w:r>
      <w:r>
        <w:rPr>
          <w:rFonts w:eastAsia="仿宋_GB2312" w:hint="eastAsia"/>
          <w:sz w:val="32"/>
          <w:szCs w:val="32"/>
        </w:rPr>
        <w:t>2023</w:t>
      </w:r>
      <w:r>
        <w:rPr>
          <w:rFonts w:eastAsia="仿宋_GB2312" w:hint="eastAsia"/>
          <w:sz w:val="32"/>
          <w:szCs w:val="32"/>
        </w:rPr>
        <w:t>年起传统奶制品产业发展资金由农牧局主管，支出功能分类发生变化。</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住房保障</w:t>
      </w:r>
      <w:r>
        <w:rPr>
          <w:rFonts w:eastAsia="仿宋_GB2312"/>
          <w:sz w:val="32"/>
          <w:szCs w:val="32"/>
        </w:rPr>
        <w:t xml:space="preserve"> (</w:t>
      </w:r>
      <w:r>
        <w:rPr>
          <w:rFonts w:eastAsia="仿宋_GB2312"/>
          <w:sz w:val="32"/>
          <w:szCs w:val="32"/>
        </w:rPr>
        <w:t>类</w:t>
      </w:r>
      <w:r>
        <w:rPr>
          <w:rFonts w:eastAsia="仿宋_GB2312"/>
          <w:sz w:val="32"/>
          <w:szCs w:val="32"/>
        </w:rPr>
        <w:t xml:space="preserve">) </w:t>
      </w:r>
      <w:r>
        <w:rPr>
          <w:rFonts w:eastAsia="仿宋_GB2312"/>
          <w:sz w:val="32"/>
          <w:szCs w:val="32"/>
        </w:rPr>
        <w:t>支出</w:t>
      </w:r>
      <w:r>
        <w:rPr>
          <w:rFonts w:eastAsia="仿宋_GB2312"/>
          <w:sz w:val="32"/>
          <w:szCs w:val="32"/>
        </w:rPr>
        <w:t xml:space="preserve"> </w:t>
      </w:r>
      <w:r>
        <w:rPr>
          <w:rFonts w:eastAsia="仿宋_GB2312" w:hint="eastAsia"/>
          <w:sz w:val="32"/>
          <w:szCs w:val="32"/>
        </w:rPr>
        <w:t>180.73</w:t>
      </w:r>
      <w:r>
        <w:rPr>
          <w:rFonts w:eastAsia="仿宋_GB2312"/>
          <w:sz w:val="32"/>
          <w:szCs w:val="32"/>
        </w:rPr>
        <w:t>万元，主要用于发放新职工住房补贴和缴纳在职人员住房公积金。与上年相比</w:t>
      </w:r>
      <w:r>
        <w:rPr>
          <w:rFonts w:eastAsia="仿宋_GB2312" w:hint="eastAsia"/>
          <w:sz w:val="32"/>
          <w:szCs w:val="32"/>
        </w:rPr>
        <w:t>增加</w:t>
      </w:r>
      <w:r>
        <w:rPr>
          <w:rFonts w:eastAsia="仿宋_GB2312" w:hint="eastAsia"/>
          <w:sz w:val="32"/>
          <w:szCs w:val="32"/>
        </w:rPr>
        <w:t>9.3</w:t>
      </w:r>
      <w:r>
        <w:rPr>
          <w:rFonts w:eastAsia="仿宋_GB2312"/>
          <w:sz w:val="32"/>
          <w:szCs w:val="32"/>
        </w:rPr>
        <w:t>万元，</w:t>
      </w:r>
      <w:r>
        <w:rPr>
          <w:rFonts w:eastAsia="仿宋_GB2312" w:hint="eastAsia"/>
          <w:sz w:val="32"/>
          <w:szCs w:val="32"/>
        </w:rPr>
        <w:t>增加</w:t>
      </w:r>
      <w:r>
        <w:rPr>
          <w:rFonts w:eastAsia="仿宋_GB2312" w:hint="eastAsia"/>
          <w:sz w:val="32"/>
          <w:szCs w:val="32"/>
        </w:rPr>
        <w:t>5.42</w:t>
      </w:r>
      <w:r>
        <w:rPr>
          <w:rFonts w:eastAsia="仿宋_GB2312"/>
          <w:sz w:val="32"/>
          <w:szCs w:val="32"/>
        </w:rPr>
        <w:t>%</w:t>
      </w:r>
      <w:r>
        <w:rPr>
          <w:rFonts w:eastAsia="仿宋_GB2312"/>
          <w:sz w:val="32"/>
          <w:szCs w:val="32"/>
        </w:rPr>
        <w:t>。</w:t>
      </w:r>
      <w:r>
        <w:rPr>
          <w:rFonts w:eastAsia="仿宋_GB2312" w:hint="eastAsia"/>
          <w:sz w:val="32"/>
          <w:szCs w:val="32"/>
        </w:rPr>
        <w:t>增加</w:t>
      </w:r>
      <w:r>
        <w:rPr>
          <w:rFonts w:eastAsia="仿宋_GB2312"/>
          <w:sz w:val="32"/>
          <w:szCs w:val="32"/>
        </w:rPr>
        <w:t>的主要原因是</w:t>
      </w:r>
      <w:r>
        <w:rPr>
          <w:rFonts w:eastAsia="仿宋_GB2312" w:hint="eastAsia"/>
          <w:sz w:val="32"/>
          <w:szCs w:val="32"/>
        </w:rPr>
        <w:t>2023</w:t>
      </w:r>
      <w:r>
        <w:rPr>
          <w:rFonts w:eastAsia="仿宋_GB2312" w:hint="eastAsia"/>
          <w:sz w:val="32"/>
          <w:szCs w:val="32"/>
        </w:rPr>
        <w:t>年新进人员和调资的基数变化，导致支出增加</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其他收入支出</w:t>
      </w:r>
      <w:r>
        <w:rPr>
          <w:rFonts w:eastAsia="仿宋_GB2312"/>
          <w:sz w:val="32"/>
          <w:szCs w:val="32"/>
        </w:rPr>
        <w:t>(</w:t>
      </w:r>
      <w:r>
        <w:rPr>
          <w:rFonts w:eastAsia="仿宋_GB2312"/>
          <w:sz w:val="32"/>
          <w:szCs w:val="32"/>
        </w:rPr>
        <w:t>类</w:t>
      </w:r>
      <w:r>
        <w:rPr>
          <w:rFonts w:eastAsia="仿宋_GB2312"/>
          <w:sz w:val="32"/>
          <w:szCs w:val="32"/>
        </w:rPr>
        <w:t xml:space="preserve">) </w:t>
      </w:r>
      <w:r>
        <w:rPr>
          <w:rFonts w:eastAsia="仿宋_GB2312"/>
          <w:sz w:val="32"/>
          <w:szCs w:val="32"/>
        </w:rPr>
        <w:t>支出</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万元，主要原因是本年度无其他收入类支出。</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hint="eastAsia"/>
          <w:sz w:val="32"/>
          <w:szCs w:val="32"/>
        </w:rPr>
        <w:t>0</w:t>
      </w:r>
      <w:r>
        <w:rPr>
          <w:rFonts w:eastAsia="仿宋_GB2312"/>
          <w:sz w:val="32"/>
          <w:szCs w:val="32"/>
        </w:rPr>
        <w:t>万元，主要原因是预计当年经费将在本年全部支出完毕，因此没有年终结转结余。</w:t>
      </w: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年一般公共预算财政拨款支出预算</w:t>
      </w:r>
      <w:r>
        <w:rPr>
          <w:rFonts w:eastAsia="仿宋_GB2312" w:hint="eastAsia"/>
          <w:sz w:val="32"/>
          <w:szCs w:val="32"/>
        </w:rPr>
        <w:t>3673.78</w:t>
      </w:r>
      <w:r>
        <w:rPr>
          <w:rFonts w:eastAsia="仿宋_GB2312"/>
          <w:sz w:val="32"/>
          <w:szCs w:val="32"/>
        </w:rPr>
        <w:t>万元，与上年相比增加增加</w:t>
      </w:r>
      <w:r>
        <w:rPr>
          <w:rFonts w:eastAsia="仿宋_GB2312" w:hint="eastAsia"/>
          <w:sz w:val="32"/>
          <w:szCs w:val="32"/>
        </w:rPr>
        <w:t>447.01</w:t>
      </w:r>
      <w:r>
        <w:rPr>
          <w:rFonts w:eastAsia="仿宋_GB2312"/>
          <w:sz w:val="32"/>
          <w:szCs w:val="32"/>
        </w:rPr>
        <w:t>万元，增长</w:t>
      </w:r>
      <w:r>
        <w:rPr>
          <w:rFonts w:eastAsia="仿宋_GB2312" w:hint="eastAsia"/>
          <w:sz w:val="32"/>
          <w:szCs w:val="32"/>
        </w:rPr>
        <w:t>16.62</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w:t>
      </w:r>
      <w:r>
        <w:rPr>
          <w:rFonts w:eastAsia="仿宋_GB2312" w:hint="eastAsia"/>
          <w:sz w:val="32"/>
          <w:szCs w:val="32"/>
        </w:rPr>
        <w:lastRenderedPageBreak/>
        <w:t>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E1719B" w:rsidRDefault="008429D3">
      <w:pPr>
        <w:pStyle w:val="a5"/>
        <w:tabs>
          <w:tab w:val="left" w:pos="4275"/>
        </w:tabs>
        <w:spacing w:after="0" w:line="600" w:lineRule="atLeast"/>
        <w:ind w:firstLineChars="100" w:firstLine="321"/>
        <w:rPr>
          <w:rFonts w:ascii="楷体" w:eastAsia="楷体" w:hAnsi="楷体" w:cs="楷体"/>
          <w:b/>
          <w:bCs/>
          <w:sz w:val="32"/>
          <w:szCs w:val="32"/>
        </w:rPr>
      </w:pPr>
      <w:r>
        <w:rPr>
          <w:rFonts w:ascii="楷体" w:eastAsia="楷体" w:hAnsi="楷体" w:cs="楷体" w:hint="eastAsia"/>
          <w:b/>
          <w:bCs/>
          <w:sz w:val="32"/>
          <w:szCs w:val="32"/>
        </w:rPr>
        <w:t>（一）一般公共服务（类）</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知识产权事务（款）其他知识产权事务支出（项）。年初预算</w:t>
      </w:r>
      <w:r>
        <w:rPr>
          <w:rFonts w:eastAsia="仿宋_GB2312" w:hint="eastAsia"/>
          <w:sz w:val="32"/>
          <w:szCs w:val="32"/>
        </w:rPr>
        <w:t>8</w:t>
      </w:r>
      <w:r>
        <w:rPr>
          <w:rFonts w:eastAsia="仿宋_GB2312" w:hint="eastAsia"/>
          <w:sz w:val="32"/>
          <w:szCs w:val="32"/>
        </w:rPr>
        <w:t>万元，与上年相比增加</w:t>
      </w:r>
      <w:r>
        <w:rPr>
          <w:rFonts w:eastAsia="仿宋_GB2312" w:hint="eastAsia"/>
          <w:sz w:val="32"/>
          <w:szCs w:val="32"/>
        </w:rPr>
        <w:t>0</w:t>
      </w:r>
      <w:r>
        <w:rPr>
          <w:rFonts w:eastAsia="仿宋_GB2312" w:hint="eastAsia"/>
          <w:sz w:val="32"/>
          <w:szCs w:val="32"/>
        </w:rPr>
        <w:t>万元，增加</w:t>
      </w:r>
      <w:r>
        <w:rPr>
          <w:rFonts w:eastAsia="仿宋_GB2312" w:hint="eastAsia"/>
          <w:sz w:val="32"/>
          <w:szCs w:val="32"/>
        </w:rPr>
        <w:t>0%</w:t>
      </w:r>
      <w:r>
        <w:rPr>
          <w:rFonts w:eastAsia="仿宋_GB2312" w:hint="eastAsia"/>
          <w:sz w:val="32"/>
          <w:szCs w:val="32"/>
        </w:rPr>
        <w:t>，变动原因：该笔资金为知识产权业务费，无变动。</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行政运行</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w:t>
      </w:r>
      <w:r>
        <w:rPr>
          <w:rFonts w:eastAsia="仿宋_GB2312" w:hint="eastAsia"/>
          <w:sz w:val="32"/>
          <w:szCs w:val="32"/>
        </w:rPr>
        <w:t>1788.36</w:t>
      </w:r>
      <w:r>
        <w:rPr>
          <w:rFonts w:eastAsia="仿宋_GB2312" w:hint="eastAsia"/>
          <w:sz w:val="32"/>
          <w:szCs w:val="32"/>
        </w:rPr>
        <w:t>万元，与上年相比增加</w:t>
      </w:r>
      <w:r>
        <w:rPr>
          <w:rFonts w:eastAsia="仿宋_GB2312" w:hint="eastAsia"/>
          <w:sz w:val="32"/>
          <w:szCs w:val="32"/>
        </w:rPr>
        <w:t>25.91</w:t>
      </w:r>
      <w:r>
        <w:rPr>
          <w:rFonts w:eastAsia="仿宋_GB2312" w:hint="eastAsia"/>
          <w:sz w:val="32"/>
          <w:szCs w:val="32"/>
        </w:rPr>
        <w:t>万元，增加</w:t>
      </w:r>
      <w:r>
        <w:rPr>
          <w:rFonts w:eastAsia="仿宋_GB2312" w:hint="eastAsia"/>
          <w:sz w:val="32"/>
          <w:szCs w:val="32"/>
        </w:rPr>
        <w:t>1.47%</w:t>
      </w:r>
      <w:r>
        <w:rPr>
          <w:rFonts w:eastAsia="仿宋_GB2312" w:hint="eastAsia"/>
          <w:sz w:val="32"/>
          <w:szCs w:val="32"/>
        </w:rPr>
        <w:t>。变动原因：主要是人员经费的增加</w:t>
      </w:r>
      <w:r>
        <w:rPr>
          <w:rFonts w:eastAsia="仿宋_GB2312"/>
          <w:sz w:val="32"/>
          <w:szCs w:val="32"/>
        </w:rPr>
        <w:t>。</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市场秩序执法</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16</w:t>
      </w:r>
      <w:r>
        <w:rPr>
          <w:rFonts w:eastAsia="仿宋_GB2312" w:hint="eastAsia"/>
          <w:sz w:val="32"/>
          <w:szCs w:val="32"/>
        </w:rPr>
        <w:t>万元，与上年相比减少</w:t>
      </w:r>
      <w:r>
        <w:rPr>
          <w:rFonts w:eastAsia="仿宋_GB2312" w:hint="eastAsia"/>
          <w:sz w:val="32"/>
          <w:szCs w:val="32"/>
        </w:rPr>
        <w:t>3.37</w:t>
      </w:r>
      <w:r>
        <w:rPr>
          <w:rFonts w:eastAsia="仿宋_GB2312" w:hint="eastAsia"/>
          <w:sz w:val="32"/>
          <w:szCs w:val="32"/>
        </w:rPr>
        <w:t>万元，减少</w:t>
      </w:r>
      <w:r>
        <w:rPr>
          <w:rFonts w:eastAsia="仿宋_GB2312" w:hint="eastAsia"/>
          <w:sz w:val="32"/>
          <w:szCs w:val="32"/>
        </w:rPr>
        <w:t>17.08%</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年初预算中含上年未使用完的专项资金结转结余。</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信息化建设</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8</w:t>
      </w:r>
      <w:r>
        <w:rPr>
          <w:rFonts w:eastAsia="仿宋_GB2312" w:hint="eastAsia"/>
          <w:sz w:val="32"/>
          <w:szCs w:val="32"/>
        </w:rPr>
        <w:t>万元，与上年相比减少</w:t>
      </w:r>
      <w:r>
        <w:rPr>
          <w:rFonts w:eastAsia="仿宋_GB2312" w:hint="eastAsia"/>
          <w:sz w:val="32"/>
          <w:szCs w:val="32"/>
        </w:rPr>
        <w:t>29.67</w:t>
      </w:r>
      <w:r>
        <w:rPr>
          <w:rFonts w:eastAsia="仿宋_GB2312" w:hint="eastAsia"/>
          <w:sz w:val="32"/>
          <w:szCs w:val="32"/>
        </w:rPr>
        <w:t>万元，减少</w:t>
      </w:r>
      <w:r>
        <w:rPr>
          <w:rFonts w:eastAsia="仿宋_GB2312" w:hint="eastAsia"/>
          <w:sz w:val="32"/>
          <w:szCs w:val="32"/>
        </w:rPr>
        <w:t>78.76%</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年初预算中含上年未使用完的专项资金结转结余。</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质量基础</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63.29</w:t>
      </w:r>
      <w:r>
        <w:rPr>
          <w:rFonts w:eastAsia="仿宋_GB2312" w:hint="eastAsia"/>
          <w:sz w:val="32"/>
          <w:szCs w:val="32"/>
        </w:rPr>
        <w:t>万元，与上年相比减少</w:t>
      </w:r>
      <w:r>
        <w:rPr>
          <w:rFonts w:eastAsia="仿宋_GB2312" w:hint="eastAsia"/>
          <w:sz w:val="32"/>
          <w:szCs w:val="32"/>
        </w:rPr>
        <w:t>10.38</w:t>
      </w:r>
      <w:r>
        <w:rPr>
          <w:rFonts w:eastAsia="仿宋_GB2312" w:hint="eastAsia"/>
          <w:sz w:val="32"/>
          <w:szCs w:val="32"/>
        </w:rPr>
        <w:t>万元，减少</w:t>
      </w:r>
      <w:r>
        <w:rPr>
          <w:rFonts w:eastAsia="仿宋_GB2312" w:hint="eastAsia"/>
          <w:sz w:val="32"/>
          <w:szCs w:val="32"/>
        </w:rPr>
        <w:t>14.09%</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年初预算中含上年未使用完的专项资金结转结余。</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药品事务</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20.6</w:t>
      </w:r>
      <w:r>
        <w:rPr>
          <w:rFonts w:eastAsia="仿宋_GB2312" w:hint="eastAsia"/>
          <w:sz w:val="32"/>
          <w:szCs w:val="32"/>
        </w:rPr>
        <w:t>万元，与上年相比减少</w:t>
      </w:r>
      <w:r>
        <w:rPr>
          <w:rFonts w:eastAsia="仿宋_GB2312" w:hint="eastAsia"/>
          <w:sz w:val="32"/>
          <w:szCs w:val="32"/>
        </w:rPr>
        <w:t>9.4</w:t>
      </w:r>
      <w:r>
        <w:rPr>
          <w:rFonts w:eastAsia="仿宋_GB2312" w:hint="eastAsia"/>
          <w:sz w:val="32"/>
          <w:szCs w:val="32"/>
        </w:rPr>
        <w:t>万元，减少</w:t>
      </w:r>
      <w:r>
        <w:rPr>
          <w:rFonts w:eastAsia="仿宋_GB2312" w:hint="eastAsia"/>
          <w:sz w:val="32"/>
          <w:szCs w:val="32"/>
        </w:rPr>
        <w:t>31.33%</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年申请药品监管标准化建设经费</w:t>
      </w:r>
      <w:r>
        <w:rPr>
          <w:rFonts w:eastAsia="仿宋_GB2312" w:hint="eastAsia"/>
          <w:sz w:val="32"/>
          <w:szCs w:val="32"/>
        </w:rPr>
        <w:t>30</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年预算批复</w:t>
      </w:r>
      <w:r>
        <w:rPr>
          <w:rFonts w:eastAsia="仿宋_GB2312" w:hint="eastAsia"/>
          <w:sz w:val="32"/>
          <w:szCs w:val="32"/>
        </w:rPr>
        <w:t>20</w:t>
      </w:r>
      <w:r>
        <w:rPr>
          <w:rFonts w:eastAsia="仿宋_GB2312" w:hint="eastAsia"/>
          <w:sz w:val="32"/>
          <w:szCs w:val="32"/>
        </w:rPr>
        <w:t>万元，上年结转</w:t>
      </w:r>
      <w:r>
        <w:rPr>
          <w:rFonts w:eastAsia="仿宋_GB2312" w:hint="eastAsia"/>
          <w:sz w:val="32"/>
          <w:szCs w:val="32"/>
        </w:rPr>
        <w:t>0.6</w:t>
      </w:r>
      <w:r>
        <w:rPr>
          <w:rFonts w:eastAsia="仿宋_GB2312" w:hint="eastAsia"/>
          <w:sz w:val="32"/>
          <w:szCs w:val="32"/>
        </w:rPr>
        <w:t>万元。</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质量安全监管</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94.14</w:t>
      </w:r>
      <w:r>
        <w:rPr>
          <w:rFonts w:eastAsia="仿宋_GB2312" w:hint="eastAsia"/>
          <w:sz w:val="32"/>
          <w:szCs w:val="32"/>
        </w:rPr>
        <w:t>万元，与上年相比增加</w:t>
      </w:r>
      <w:r>
        <w:rPr>
          <w:rFonts w:eastAsia="仿宋_GB2312" w:hint="eastAsia"/>
          <w:sz w:val="32"/>
          <w:szCs w:val="32"/>
        </w:rPr>
        <w:t>14.64</w:t>
      </w:r>
      <w:r>
        <w:rPr>
          <w:rFonts w:eastAsia="仿宋_GB2312" w:hint="eastAsia"/>
          <w:sz w:val="32"/>
          <w:szCs w:val="32"/>
        </w:rPr>
        <w:t>万元，增加</w:t>
      </w:r>
      <w:r>
        <w:rPr>
          <w:rFonts w:eastAsia="仿宋_GB2312" w:hint="eastAsia"/>
          <w:sz w:val="32"/>
          <w:szCs w:val="32"/>
        </w:rPr>
        <w:t>18.42%</w:t>
      </w:r>
      <w:r>
        <w:rPr>
          <w:rFonts w:eastAsia="仿宋_GB2312" w:hint="eastAsia"/>
          <w:sz w:val="32"/>
          <w:szCs w:val="32"/>
        </w:rPr>
        <w:t>。变动原因：</w:t>
      </w:r>
      <w:r>
        <w:rPr>
          <w:rFonts w:eastAsia="仿宋_GB2312" w:hint="eastAsia"/>
          <w:sz w:val="32"/>
          <w:szCs w:val="32"/>
        </w:rPr>
        <w:t>2024</w:t>
      </w:r>
      <w:r>
        <w:rPr>
          <w:rFonts w:eastAsia="仿宋_GB2312" w:hint="eastAsia"/>
          <w:sz w:val="32"/>
          <w:szCs w:val="32"/>
        </w:rPr>
        <w:t>年新增安</w:t>
      </w:r>
      <w:r>
        <w:rPr>
          <w:rFonts w:eastAsia="仿宋_GB2312" w:hint="eastAsia"/>
          <w:sz w:val="32"/>
          <w:szCs w:val="32"/>
        </w:rPr>
        <w:lastRenderedPageBreak/>
        <w:t>全生产项目，预算批复经费</w:t>
      </w:r>
      <w:r>
        <w:rPr>
          <w:rFonts w:eastAsia="仿宋_GB2312" w:hint="eastAsia"/>
          <w:sz w:val="32"/>
          <w:szCs w:val="32"/>
        </w:rPr>
        <w:t>15</w:t>
      </w:r>
      <w:r>
        <w:rPr>
          <w:rFonts w:eastAsia="仿宋_GB2312" w:hint="eastAsia"/>
          <w:sz w:val="32"/>
          <w:szCs w:val="32"/>
        </w:rPr>
        <w:t>万元。</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食品安全监管</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530.37</w:t>
      </w:r>
      <w:r>
        <w:rPr>
          <w:rFonts w:eastAsia="仿宋_GB2312" w:hint="eastAsia"/>
          <w:sz w:val="32"/>
          <w:szCs w:val="32"/>
        </w:rPr>
        <w:t>万元，与上年相比增加</w:t>
      </w:r>
      <w:r>
        <w:rPr>
          <w:rFonts w:eastAsia="仿宋_GB2312" w:hint="eastAsia"/>
          <w:sz w:val="32"/>
          <w:szCs w:val="32"/>
        </w:rPr>
        <w:t>401.39</w:t>
      </w:r>
      <w:r>
        <w:rPr>
          <w:rFonts w:eastAsia="仿宋_GB2312" w:hint="eastAsia"/>
          <w:sz w:val="32"/>
          <w:szCs w:val="32"/>
        </w:rPr>
        <w:t>万元，增加</w:t>
      </w:r>
      <w:r>
        <w:rPr>
          <w:rFonts w:eastAsia="仿宋_GB2312" w:hint="eastAsia"/>
          <w:sz w:val="32"/>
          <w:szCs w:val="32"/>
        </w:rPr>
        <w:t>310.34%</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年结转至本年创建国家食品安全示范城市工作资金</w:t>
      </w:r>
      <w:r>
        <w:rPr>
          <w:rFonts w:eastAsia="仿宋_GB2312" w:hint="eastAsia"/>
          <w:sz w:val="32"/>
          <w:szCs w:val="32"/>
        </w:rPr>
        <w:t>285.07</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年预算批复创建国家食品安全示范城市工作资金</w:t>
      </w:r>
      <w:r>
        <w:rPr>
          <w:rFonts w:eastAsia="仿宋_GB2312" w:hint="eastAsia"/>
          <w:sz w:val="32"/>
          <w:szCs w:val="32"/>
        </w:rPr>
        <w:t>221.3</w:t>
      </w:r>
      <w:r>
        <w:rPr>
          <w:rFonts w:eastAsia="仿宋_GB2312" w:hint="eastAsia"/>
          <w:sz w:val="32"/>
          <w:szCs w:val="32"/>
        </w:rPr>
        <w:t>万元。</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其他市场监督管理事。年初预算</w:t>
      </w:r>
      <w:r>
        <w:rPr>
          <w:rFonts w:eastAsia="仿宋_GB2312" w:hint="eastAsia"/>
          <w:sz w:val="32"/>
          <w:szCs w:val="32"/>
        </w:rPr>
        <w:t>239.33</w:t>
      </w:r>
      <w:r>
        <w:rPr>
          <w:rFonts w:eastAsia="仿宋_GB2312" w:hint="eastAsia"/>
          <w:sz w:val="32"/>
          <w:szCs w:val="32"/>
        </w:rPr>
        <w:t>万元，与上年相比增加</w:t>
      </w:r>
      <w:r>
        <w:rPr>
          <w:rFonts w:eastAsia="仿宋_GB2312" w:hint="eastAsia"/>
          <w:sz w:val="32"/>
          <w:szCs w:val="32"/>
        </w:rPr>
        <w:t>101.98</w:t>
      </w:r>
      <w:r>
        <w:rPr>
          <w:rFonts w:eastAsia="仿宋_GB2312" w:hint="eastAsia"/>
          <w:sz w:val="32"/>
          <w:szCs w:val="32"/>
        </w:rPr>
        <w:t>万元，增加</w:t>
      </w:r>
      <w:r>
        <w:rPr>
          <w:rFonts w:eastAsia="仿宋_GB2312" w:hint="eastAsia"/>
          <w:sz w:val="32"/>
          <w:szCs w:val="32"/>
        </w:rPr>
        <w:t>74.25%</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追加办公楼维修费用</w:t>
      </w:r>
      <w:r>
        <w:rPr>
          <w:rFonts w:eastAsia="仿宋_GB2312" w:hint="eastAsia"/>
          <w:sz w:val="32"/>
          <w:szCs w:val="32"/>
        </w:rPr>
        <w:t>180</w:t>
      </w:r>
      <w:r>
        <w:rPr>
          <w:rFonts w:eastAsia="仿宋_GB2312" w:hint="eastAsia"/>
          <w:sz w:val="32"/>
          <w:szCs w:val="32"/>
        </w:rPr>
        <w:t>万结转至本年。</w:t>
      </w:r>
    </w:p>
    <w:p w:rsidR="00E1719B" w:rsidRDefault="008429D3">
      <w:pPr>
        <w:pStyle w:val="a5"/>
        <w:tabs>
          <w:tab w:val="left" w:pos="4275"/>
        </w:tabs>
        <w:spacing w:after="0" w:line="600" w:lineRule="atLeast"/>
        <w:ind w:firstLineChars="100" w:firstLine="321"/>
        <w:rPr>
          <w:rFonts w:ascii="楷体" w:eastAsia="楷体" w:hAnsi="楷体" w:cs="楷体"/>
          <w:b/>
          <w:bCs/>
          <w:sz w:val="32"/>
          <w:szCs w:val="32"/>
        </w:rPr>
      </w:pPr>
      <w:r>
        <w:rPr>
          <w:rFonts w:ascii="楷体" w:eastAsia="楷体" w:hAnsi="楷体" w:cs="楷体" w:hint="eastAsia"/>
          <w:b/>
          <w:bCs/>
          <w:sz w:val="32"/>
          <w:szCs w:val="32"/>
        </w:rPr>
        <w:t>（二）社会保障和就业支出（类）</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行政单位离退休</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130.86</w:t>
      </w:r>
      <w:r>
        <w:rPr>
          <w:rFonts w:eastAsia="仿宋_GB2312" w:hint="eastAsia"/>
          <w:sz w:val="32"/>
          <w:szCs w:val="32"/>
        </w:rPr>
        <w:t>万元，与上年相比增加了</w:t>
      </w:r>
      <w:r>
        <w:rPr>
          <w:rFonts w:eastAsia="仿宋_GB2312" w:hint="eastAsia"/>
          <w:sz w:val="32"/>
          <w:szCs w:val="32"/>
        </w:rPr>
        <w:t>7</w:t>
      </w:r>
      <w:r>
        <w:rPr>
          <w:rFonts w:eastAsia="仿宋_GB2312" w:hint="eastAsia"/>
          <w:sz w:val="32"/>
          <w:szCs w:val="32"/>
        </w:rPr>
        <w:t>万元，增长</w:t>
      </w:r>
      <w:r>
        <w:rPr>
          <w:rFonts w:eastAsia="仿宋_GB2312" w:hint="eastAsia"/>
          <w:sz w:val="32"/>
          <w:szCs w:val="32"/>
        </w:rPr>
        <w:t>6.65%</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年退休人员增加导致此项支出增大。</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机关事业单位基本养老保险缴费支出</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w:t>
      </w:r>
      <w:r>
        <w:rPr>
          <w:rFonts w:eastAsia="仿宋_GB2312" w:hint="eastAsia"/>
          <w:sz w:val="32"/>
          <w:szCs w:val="32"/>
        </w:rPr>
        <w:t>169.19</w:t>
      </w:r>
      <w:r>
        <w:rPr>
          <w:rFonts w:eastAsia="仿宋_GB2312" w:hint="eastAsia"/>
          <w:sz w:val="32"/>
          <w:szCs w:val="32"/>
        </w:rPr>
        <w:t>万元，与上年相比增加了</w:t>
      </w:r>
      <w:r>
        <w:rPr>
          <w:rFonts w:eastAsia="仿宋_GB2312" w:hint="eastAsia"/>
          <w:sz w:val="32"/>
          <w:szCs w:val="32"/>
        </w:rPr>
        <w:t>0.94</w:t>
      </w:r>
      <w:r>
        <w:rPr>
          <w:rFonts w:eastAsia="仿宋_GB2312" w:hint="eastAsia"/>
          <w:sz w:val="32"/>
          <w:szCs w:val="32"/>
        </w:rPr>
        <w:t>万元，增加</w:t>
      </w:r>
      <w:r>
        <w:rPr>
          <w:rFonts w:eastAsia="仿宋_GB2312" w:hint="eastAsia"/>
          <w:sz w:val="32"/>
          <w:szCs w:val="32"/>
        </w:rPr>
        <w:t>0.56%</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年退休及新进人员变动导致支出增加。</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机关事业单位职业年金缴费支出</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w:t>
      </w:r>
      <w:r>
        <w:rPr>
          <w:rFonts w:eastAsia="仿宋_GB2312" w:hint="eastAsia"/>
          <w:sz w:val="32"/>
          <w:szCs w:val="32"/>
        </w:rPr>
        <w:t>125.69</w:t>
      </w:r>
      <w:r>
        <w:rPr>
          <w:rFonts w:eastAsia="仿宋_GB2312" w:hint="eastAsia"/>
          <w:sz w:val="32"/>
          <w:szCs w:val="32"/>
        </w:rPr>
        <w:t>万元，与上年相比增加了</w:t>
      </w:r>
      <w:r>
        <w:rPr>
          <w:rFonts w:eastAsia="仿宋_GB2312" w:hint="eastAsia"/>
          <w:sz w:val="32"/>
          <w:szCs w:val="32"/>
        </w:rPr>
        <w:t>125.69</w:t>
      </w:r>
      <w:r>
        <w:rPr>
          <w:rFonts w:eastAsia="仿宋_GB2312" w:hint="eastAsia"/>
          <w:sz w:val="32"/>
          <w:szCs w:val="32"/>
        </w:rPr>
        <w:t>万元，增加</w:t>
      </w:r>
      <w:r>
        <w:rPr>
          <w:rFonts w:eastAsia="仿宋_GB2312" w:hint="eastAsia"/>
          <w:sz w:val="32"/>
          <w:szCs w:val="32"/>
        </w:rPr>
        <w:t>100%</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年未将此项支出列入年初预算。</w:t>
      </w:r>
    </w:p>
    <w:p w:rsidR="00E1719B" w:rsidRDefault="008429D3">
      <w:pPr>
        <w:pStyle w:val="a5"/>
        <w:tabs>
          <w:tab w:val="left" w:pos="4275"/>
        </w:tabs>
        <w:spacing w:after="0" w:line="600" w:lineRule="atLeast"/>
        <w:ind w:firstLineChars="100" w:firstLine="321"/>
        <w:rPr>
          <w:rFonts w:ascii="楷体" w:eastAsia="楷体" w:hAnsi="楷体" w:cs="楷体"/>
          <w:b/>
          <w:bCs/>
          <w:sz w:val="32"/>
          <w:szCs w:val="32"/>
        </w:rPr>
      </w:pPr>
      <w:r>
        <w:rPr>
          <w:rFonts w:ascii="楷体" w:eastAsia="楷体" w:hAnsi="楷体" w:cs="楷体" w:hint="eastAsia"/>
          <w:b/>
          <w:bCs/>
          <w:sz w:val="32"/>
          <w:szCs w:val="32"/>
        </w:rPr>
        <w:t>（三）卫生健康支出（类）</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行政事业单位医疗</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行政单位医疗</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142.73</w:t>
      </w:r>
      <w:r>
        <w:rPr>
          <w:rFonts w:eastAsia="仿宋_GB2312" w:hint="eastAsia"/>
          <w:sz w:val="32"/>
          <w:szCs w:val="32"/>
        </w:rPr>
        <w:t>万元，与上年相比增加</w:t>
      </w:r>
      <w:r>
        <w:rPr>
          <w:rFonts w:eastAsia="仿宋_GB2312" w:hint="eastAsia"/>
          <w:sz w:val="32"/>
          <w:szCs w:val="32"/>
        </w:rPr>
        <w:t>12.92</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，增加</w:t>
      </w:r>
      <w:r>
        <w:rPr>
          <w:rFonts w:eastAsia="仿宋_GB2312" w:hint="eastAsia"/>
          <w:sz w:val="32"/>
          <w:szCs w:val="32"/>
        </w:rPr>
        <w:t>9.95%</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年新进的人员和退休人员变动导致经费的增加。</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行政事业单位医疗</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公务员医疗补助</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9.82</w:t>
      </w:r>
      <w:r>
        <w:rPr>
          <w:rFonts w:eastAsia="仿宋_GB2312" w:hint="eastAsia"/>
          <w:sz w:val="32"/>
          <w:szCs w:val="32"/>
        </w:rPr>
        <w:t>万元，</w:t>
      </w:r>
      <w:r>
        <w:rPr>
          <w:rFonts w:eastAsia="仿宋_GB2312" w:hint="eastAsia"/>
          <w:sz w:val="32"/>
          <w:szCs w:val="32"/>
        </w:rPr>
        <w:lastRenderedPageBreak/>
        <w:t>与上年相比减少</w:t>
      </w:r>
      <w:r>
        <w:rPr>
          <w:rFonts w:eastAsia="仿宋_GB2312" w:hint="eastAsia"/>
          <w:sz w:val="32"/>
          <w:szCs w:val="32"/>
        </w:rPr>
        <w:t>9.67</w:t>
      </w:r>
      <w:r>
        <w:rPr>
          <w:rFonts w:eastAsia="仿宋_GB2312" w:hint="eastAsia"/>
          <w:sz w:val="32"/>
          <w:szCs w:val="32"/>
        </w:rPr>
        <w:t>万元，减少</w:t>
      </w:r>
      <w:r>
        <w:rPr>
          <w:rFonts w:eastAsia="仿宋_GB2312" w:hint="eastAsia"/>
          <w:sz w:val="32"/>
          <w:szCs w:val="32"/>
        </w:rPr>
        <w:t>49.62%</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变动的原因：</w:t>
      </w:r>
      <w:r>
        <w:rPr>
          <w:rFonts w:eastAsia="仿宋_GB2312" w:hint="eastAsia"/>
          <w:sz w:val="32"/>
          <w:szCs w:val="32"/>
        </w:rPr>
        <w:t>2024</w:t>
      </w:r>
      <w:r>
        <w:rPr>
          <w:rFonts w:eastAsia="仿宋_GB2312" w:hint="eastAsia"/>
          <w:sz w:val="32"/>
          <w:szCs w:val="32"/>
        </w:rPr>
        <w:t>年公务员医疗补助统计口径未包括退休人员，所以总体支出金额减少。</w:t>
      </w:r>
    </w:p>
    <w:p w:rsidR="00E1719B" w:rsidRDefault="008429D3">
      <w:pPr>
        <w:pStyle w:val="a5"/>
        <w:tabs>
          <w:tab w:val="left" w:pos="4275"/>
        </w:tabs>
        <w:spacing w:after="0" w:line="60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（四）农林水支出（类）</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农村农业（款）农业生产发展（项）。年初预算</w:t>
      </w:r>
      <w:r>
        <w:rPr>
          <w:rFonts w:eastAsia="仿宋_GB2312" w:hint="eastAsia"/>
          <w:sz w:val="32"/>
          <w:szCs w:val="32"/>
        </w:rPr>
        <w:t>146.66</w:t>
      </w:r>
      <w:r>
        <w:rPr>
          <w:rFonts w:eastAsia="仿宋_GB2312" w:hint="eastAsia"/>
          <w:sz w:val="32"/>
          <w:szCs w:val="32"/>
        </w:rPr>
        <w:t>万元，与上年相比增加</w:t>
      </w:r>
      <w:r>
        <w:rPr>
          <w:rFonts w:eastAsia="仿宋_GB2312" w:hint="eastAsia"/>
          <w:sz w:val="32"/>
          <w:szCs w:val="32"/>
        </w:rPr>
        <w:t>146.66</w:t>
      </w:r>
      <w:r>
        <w:rPr>
          <w:rFonts w:eastAsia="仿宋_GB2312" w:hint="eastAsia"/>
          <w:sz w:val="32"/>
          <w:szCs w:val="32"/>
        </w:rPr>
        <w:t>万元，增长</w:t>
      </w:r>
      <w:r>
        <w:rPr>
          <w:rFonts w:eastAsia="仿宋_GB2312" w:hint="eastAsia"/>
          <w:sz w:val="32"/>
          <w:szCs w:val="32"/>
        </w:rPr>
        <w:t>100%</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年起传统奶制品产业发展资金由农牧局主管，支出功能分类发生变化。</w:t>
      </w:r>
    </w:p>
    <w:p w:rsidR="00E1719B" w:rsidRDefault="008429D3">
      <w:pPr>
        <w:pStyle w:val="a5"/>
        <w:tabs>
          <w:tab w:val="left" w:pos="4275"/>
        </w:tabs>
        <w:spacing w:after="0" w:line="600" w:lineRule="atLeast"/>
        <w:ind w:left="-13" w:firstLine="643"/>
        <w:rPr>
          <w:rFonts w:ascii="楷体" w:eastAsia="楷体" w:hAnsi="楷体" w:cs="楷体"/>
          <w:b/>
          <w:bCs/>
          <w:sz w:val="32"/>
          <w:szCs w:val="32"/>
        </w:rPr>
      </w:pPr>
      <w:r>
        <w:rPr>
          <w:rFonts w:ascii="楷体" w:eastAsia="楷体" w:hAnsi="楷体" w:cs="楷体" w:hint="eastAsia"/>
          <w:b/>
          <w:bCs/>
          <w:sz w:val="32"/>
          <w:szCs w:val="32"/>
        </w:rPr>
        <w:t>（五）住房保障支出（类）</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住房改革支出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住房公积金</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162.65</w:t>
      </w:r>
      <w:r>
        <w:rPr>
          <w:rFonts w:eastAsia="仿宋_GB2312" w:hint="eastAsia"/>
          <w:sz w:val="32"/>
          <w:szCs w:val="32"/>
        </w:rPr>
        <w:t>万元，与上年相比减少</w:t>
      </w:r>
      <w:r>
        <w:rPr>
          <w:rFonts w:eastAsia="仿宋_GB2312" w:hint="eastAsia"/>
          <w:sz w:val="32"/>
          <w:szCs w:val="32"/>
        </w:rPr>
        <w:t>2.13</w:t>
      </w:r>
      <w:r>
        <w:rPr>
          <w:rFonts w:eastAsia="仿宋_GB2312" w:hint="eastAsia"/>
          <w:sz w:val="32"/>
          <w:szCs w:val="32"/>
        </w:rPr>
        <w:t>万元，减少</w:t>
      </w:r>
      <w:r>
        <w:rPr>
          <w:rFonts w:eastAsia="仿宋_GB2312" w:hint="eastAsia"/>
          <w:sz w:val="32"/>
          <w:szCs w:val="32"/>
        </w:rPr>
        <w:t>1.3%</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年度退休人员增加导致此项支出减少。</w:t>
      </w:r>
    </w:p>
    <w:p w:rsidR="00E1719B" w:rsidRDefault="008429D3">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住房改革支出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购房补贴</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18.08</w:t>
      </w:r>
      <w:r>
        <w:rPr>
          <w:rFonts w:eastAsia="仿宋_GB2312" w:hint="eastAsia"/>
          <w:sz w:val="32"/>
          <w:szCs w:val="32"/>
        </w:rPr>
        <w:t>万元，与上年相比增加</w:t>
      </w:r>
      <w:r>
        <w:rPr>
          <w:rFonts w:eastAsia="仿宋_GB2312" w:hint="eastAsia"/>
          <w:sz w:val="32"/>
          <w:szCs w:val="32"/>
        </w:rPr>
        <w:t>11.03</w:t>
      </w:r>
      <w:r>
        <w:rPr>
          <w:rFonts w:eastAsia="仿宋_GB2312" w:hint="eastAsia"/>
          <w:sz w:val="32"/>
          <w:szCs w:val="32"/>
        </w:rPr>
        <w:t>万元，增加</w:t>
      </w:r>
      <w:r>
        <w:rPr>
          <w:rFonts w:eastAsia="仿宋_GB2312" w:hint="eastAsia"/>
          <w:sz w:val="32"/>
          <w:szCs w:val="32"/>
        </w:rPr>
        <w:t>156.45%</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年新增考录人员及转隶人员导致此项支出增加。</w:t>
      </w: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年度一般公共预算财政拨款基本支出预算</w:t>
      </w:r>
      <w:r>
        <w:rPr>
          <w:rFonts w:eastAsia="仿宋_GB2312" w:hint="eastAsia"/>
          <w:sz w:val="32"/>
          <w:szCs w:val="32"/>
        </w:rPr>
        <w:t>2547.38</w:t>
      </w:r>
      <w:r>
        <w:rPr>
          <w:rFonts w:eastAsia="仿宋_GB2312"/>
          <w:sz w:val="32"/>
          <w:szCs w:val="32"/>
        </w:rPr>
        <w:t>万元，其中：</w:t>
      </w:r>
    </w:p>
    <w:p w:rsidR="00E1719B" w:rsidRDefault="008429D3">
      <w:pPr>
        <w:pStyle w:val="a5"/>
        <w:tabs>
          <w:tab w:val="left" w:pos="2671"/>
          <w:tab w:val="left" w:pos="5000"/>
          <w:tab w:val="left" w:pos="6190"/>
        </w:tabs>
        <w:spacing w:after="0" w:line="600" w:lineRule="atLeast"/>
        <w:ind w:firstLineChars="200" w:firstLine="641"/>
        <w:rPr>
          <w:rFonts w:ascii="仿宋" w:eastAsia="仿宋" w:hAnsi="仿宋" w:cs="仿宋"/>
          <w:sz w:val="32"/>
          <w:szCs w:val="32"/>
          <w:highlight w:val="yellow"/>
        </w:rPr>
      </w:pPr>
      <w:r>
        <w:rPr>
          <w:rFonts w:eastAsia="仿宋_GB2312"/>
          <w:b/>
          <w:bCs/>
          <w:sz w:val="32"/>
          <w:szCs w:val="32"/>
        </w:rPr>
        <w:t>（一）人员经费</w:t>
      </w:r>
      <w:r>
        <w:rPr>
          <w:rFonts w:eastAsia="仿宋_GB2312" w:hint="eastAsia"/>
          <w:b/>
          <w:bCs/>
          <w:sz w:val="32"/>
          <w:szCs w:val="32"/>
        </w:rPr>
        <w:t>2177.57</w:t>
      </w:r>
      <w:r>
        <w:rPr>
          <w:rFonts w:eastAsia="仿宋_GB2312"/>
          <w:b/>
          <w:bCs/>
          <w:sz w:val="32"/>
          <w:szCs w:val="32"/>
        </w:rPr>
        <w:t>万元</w:t>
      </w:r>
      <w:r>
        <w:rPr>
          <w:rFonts w:eastAsia="仿宋_GB2312"/>
          <w:sz w:val="32"/>
          <w:szCs w:val="32"/>
        </w:rPr>
        <w:t>。主要包括：基本工资</w:t>
      </w:r>
      <w:r>
        <w:rPr>
          <w:rFonts w:eastAsia="仿宋_GB2312" w:hint="eastAsia"/>
          <w:sz w:val="32"/>
          <w:szCs w:val="32"/>
        </w:rPr>
        <w:t>515.35</w:t>
      </w:r>
      <w:r>
        <w:rPr>
          <w:rFonts w:eastAsia="仿宋_GB2312" w:hint="eastAsia"/>
          <w:sz w:val="32"/>
          <w:szCs w:val="32"/>
        </w:rPr>
        <w:t>万元</w:t>
      </w:r>
      <w:r>
        <w:rPr>
          <w:rFonts w:eastAsia="仿宋_GB2312"/>
          <w:sz w:val="32"/>
          <w:szCs w:val="32"/>
        </w:rPr>
        <w:t>、津贴补贴</w:t>
      </w:r>
      <w:r>
        <w:rPr>
          <w:rFonts w:eastAsia="仿宋_GB2312" w:hint="eastAsia"/>
          <w:sz w:val="32"/>
          <w:szCs w:val="32"/>
        </w:rPr>
        <w:t>557.85</w:t>
      </w:r>
      <w:r>
        <w:rPr>
          <w:rFonts w:eastAsia="仿宋_GB2312" w:hint="eastAsia"/>
          <w:sz w:val="32"/>
          <w:szCs w:val="32"/>
        </w:rPr>
        <w:t>万元</w:t>
      </w:r>
      <w:r>
        <w:rPr>
          <w:rFonts w:eastAsia="仿宋_GB2312"/>
          <w:sz w:val="32"/>
          <w:szCs w:val="32"/>
        </w:rPr>
        <w:t>、奖金</w:t>
      </w:r>
      <w:r>
        <w:rPr>
          <w:rFonts w:eastAsia="仿宋_GB2312" w:hint="eastAsia"/>
          <w:sz w:val="32"/>
          <w:szCs w:val="32"/>
        </w:rPr>
        <w:t>153.72</w:t>
      </w:r>
      <w:r>
        <w:rPr>
          <w:rFonts w:eastAsia="仿宋_GB2312" w:hint="eastAsia"/>
          <w:sz w:val="32"/>
          <w:szCs w:val="32"/>
        </w:rPr>
        <w:t>万元</w:t>
      </w:r>
      <w:r>
        <w:rPr>
          <w:rFonts w:eastAsia="仿宋_GB2312"/>
          <w:sz w:val="32"/>
          <w:szCs w:val="32"/>
        </w:rPr>
        <w:t>、</w:t>
      </w:r>
      <w:r>
        <w:rPr>
          <w:rFonts w:eastAsia="仿宋_GB2312" w:hint="eastAsia"/>
          <w:sz w:val="32"/>
          <w:szCs w:val="32"/>
        </w:rPr>
        <w:t>机关事业单位基本养老保险缴费</w:t>
      </w:r>
      <w:r>
        <w:rPr>
          <w:rFonts w:eastAsia="仿宋_GB2312" w:hint="eastAsia"/>
          <w:sz w:val="32"/>
          <w:szCs w:val="32"/>
        </w:rPr>
        <w:t>169.19</w:t>
      </w:r>
      <w:r>
        <w:rPr>
          <w:rFonts w:eastAsia="仿宋_GB2312" w:hint="eastAsia"/>
          <w:sz w:val="32"/>
          <w:szCs w:val="32"/>
        </w:rPr>
        <w:t>万元</w:t>
      </w:r>
      <w:r>
        <w:rPr>
          <w:rFonts w:eastAsia="仿宋_GB2312"/>
          <w:sz w:val="32"/>
          <w:szCs w:val="32"/>
        </w:rPr>
        <w:t>、</w:t>
      </w:r>
      <w:r>
        <w:rPr>
          <w:rFonts w:eastAsia="仿宋_GB2312" w:hint="eastAsia"/>
          <w:sz w:val="32"/>
          <w:szCs w:val="32"/>
        </w:rPr>
        <w:t>职业年金缴费</w:t>
      </w:r>
      <w:r>
        <w:rPr>
          <w:rFonts w:eastAsia="仿宋_GB2312" w:hint="eastAsia"/>
          <w:sz w:val="32"/>
          <w:szCs w:val="32"/>
        </w:rPr>
        <w:t>125.69</w:t>
      </w:r>
      <w:r>
        <w:rPr>
          <w:rFonts w:eastAsia="仿宋_GB2312" w:hint="eastAsia"/>
          <w:sz w:val="32"/>
          <w:szCs w:val="32"/>
        </w:rPr>
        <w:t>万元、职工基本医疗保险缴费</w:t>
      </w:r>
      <w:r>
        <w:rPr>
          <w:rFonts w:eastAsia="仿宋_GB2312" w:hint="eastAsia"/>
          <w:sz w:val="32"/>
          <w:szCs w:val="32"/>
        </w:rPr>
        <w:t>64.15</w:t>
      </w:r>
      <w:r>
        <w:rPr>
          <w:rFonts w:eastAsia="仿宋_GB2312" w:hint="eastAsia"/>
          <w:sz w:val="32"/>
          <w:szCs w:val="32"/>
        </w:rPr>
        <w:t>万元、公务员医疗补助缴费</w:t>
      </w:r>
      <w:r>
        <w:rPr>
          <w:rFonts w:eastAsia="仿宋_GB2312" w:hint="eastAsia"/>
          <w:sz w:val="32"/>
          <w:szCs w:val="32"/>
        </w:rPr>
        <w:t>9.82</w:t>
      </w:r>
      <w:r>
        <w:rPr>
          <w:rFonts w:eastAsia="仿宋_GB2312" w:hint="eastAsia"/>
          <w:sz w:val="32"/>
          <w:szCs w:val="32"/>
        </w:rPr>
        <w:t>万元、其他社会保障缴费</w:t>
      </w:r>
      <w:r>
        <w:rPr>
          <w:rFonts w:eastAsia="仿宋_GB2312" w:hint="eastAsia"/>
          <w:sz w:val="32"/>
          <w:szCs w:val="32"/>
        </w:rPr>
        <w:t>2.11</w:t>
      </w:r>
      <w:r>
        <w:rPr>
          <w:rFonts w:eastAsia="仿宋_GB2312" w:hint="eastAsia"/>
          <w:sz w:val="32"/>
          <w:szCs w:val="32"/>
        </w:rPr>
        <w:t>万元、</w:t>
      </w:r>
      <w:r>
        <w:rPr>
          <w:rFonts w:eastAsia="仿宋_GB2312"/>
          <w:sz w:val="32"/>
          <w:szCs w:val="32"/>
        </w:rPr>
        <w:t>住房公积金</w:t>
      </w:r>
      <w:r>
        <w:rPr>
          <w:rFonts w:eastAsia="仿宋_GB2312" w:hint="eastAsia"/>
          <w:sz w:val="32"/>
          <w:szCs w:val="32"/>
        </w:rPr>
        <w:t>162.65</w:t>
      </w:r>
      <w:r>
        <w:rPr>
          <w:rFonts w:eastAsia="仿宋_GB2312" w:hint="eastAsia"/>
          <w:sz w:val="32"/>
          <w:szCs w:val="32"/>
        </w:rPr>
        <w:t>万元</w:t>
      </w:r>
      <w:r>
        <w:rPr>
          <w:rFonts w:eastAsia="仿宋_GB2312"/>
          <w:sz w:val="32"/>
          <w:szCs w:val="32"/>
        </w:rPr>
        <w:t>、其他工资福利支出</w:t>
      </w:r>
      <w:r>
        <w:rPr>
          <w:rFonts w:eastAsia="仿宋_GB2312" w:hint="eastAsia"/>
          <w:sz w:val="32"/>
          <w:szCs w:val="32"/>
        </w:rPr>
        <w:t>193.52</w:t>
      </w:r>
      <w:r>
        <w:rPr>
          <w:rFonts w:eastAsia="仿宋_GB2312" w:hint="eastAsia"/>
          <w:sz w:val="32"/>
          <w:szCs w:val="32"/>
        </w:rPr>
        <w:t>万元</w:t>
      </w:r>
      <w:r>
        <w:rPr>
          <w:rFonts w:eastAsia="仿宋_GB2312"/>
          <w:sz w:val="32"/>
          <w:szCs w:val="32"/>
        </w:rPr>
        <w:t>、离休费</w:t>
      </w:r>
      <w:r>
        <w:rPr>
          <w:rFonts w:eastAsia="仿宋_GB2312" w:hint="eastAsia"/>
          <w:sz w:val="32"/>
          <w:szCs w:val="32"/>
        </w:rPr>
        <w:t>20.75</w:t>
      </w:r>
      <w:r>
        <w:rPr>
          <w:rFonts w:eastAsia="仿宋_GB2312" w:hint="eastAsia"/>
          <w:sz w:val="32"/>
          <w:szCs w:val="32"/>
        </w:rPr>
        <w:t>万元</w:t>
      </w:r>
      <w:r>
        <w:rPr>
          <w:rFonts w:eastAsia="仿宋_GB2312"/>
          <w:sz w:val="32"/>
          <w:szCs w:val="32"/>
        </w:rPr>
        <w:t>、退休费</w:t>
      </w:r>
      <w:r>
        <w:rPr>
          <w:rFonts w:eastAsia="仿宋_GB2312" w:hint="eastAsia"/>
          <w:sz w:val="32"/>
          <w:szCs w:val="32"/>
        </w:rPr>
        <w:t>110.11</w:t>
      </w:r>
      <w:r>
        <w:rPr>
          <w:rFonts w:eastAsia="仿宋_GB2312" w:hint="eastAsia"/>
          <w:sz w:val="32"/>
          <w:szCs w:val="32"/>
        </w:rPr>
        <w:t>万元</w:t>
      </w:r>
      <w:r>
        <w:rPr>
          <w:rFonts w:eastAsia="仿宋_GB2312"/>
          <w:sz w:val="32"/>
          <w:szCs w:val="32"/>
        </w:rPr>
        <w:t>、</w:t>
      </w:r>
      <w:r>
        <w:rPr>
          <w:rFonts w:eastAsia="仿宋_GB2312" w:hint="eastAsia"/>
          <w:sz w:val="32"/>
          <w:szCs w:val="32"/>
        </w:rPr>
        <w:t>生活补助</w:t>
      </w:r>
      <w:r>
        <w:rPr>
          <w:rFonts w:eastAsia="仿宋_GB2312" w:hint="eastAsia"/>
          <w:sz w:val="32"/>
          <w:szCs w:val="32"/>
        </w:rPr>
        <w:t>14.07</w:t>
      </w:r>
      <w:r>
        <w:rPr>
          <w:rFonts w:eastAsia="仿宋_GB2312" w:hint="eastAsia"/>
          <w:sz w:val="32"/>
          <w:szCs w:val="32"/>
        </w:rPr>
        <w:t>万元</w:t>
      </w:r>
      <w:r>
        <w:rPr>
          <w:rFonts w:eastAsia="仿宋_GB2312"/>
          <w:sz w:val="32"/>
          <w:szCs w:val="32"/>
        </w:rPr>
        <w:t>、</w:t>
      </w:r>
      <w:r>
        <w:rPr>
          <w:rFonts w:eastAsia="仿宋_GB2312" w:hint="eastAsia"/>
          <w:sz w:val="32"/>
          <w:szCs w:val="32"/>
        </w:rPr>
        <w:t>医疗费补助</w:t>
      </w:r>
      <w:r>
        <w:rPr>
          <w:rFonts w:eastAsia="仿宋_GB2312" w:hint="eastAsia"/>
          <w:sz w:val="32"/>
          <w:szCs w:val="32"/>
        </w:rPr>
        <w:t>78.58</w:t>
      </w:r>
      <w:r>
        <w:rPr>
          <w:rFonts w:eastAsia="仿宋_GB2312" w:hint="eastAsia"/>
          <w:sz w:val="32"/>
          <w:szCs w:val="32"/>
        </w:rPr>
        <w:t>万元</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1"/>
        <w:rPr>
          <w:rFonts w:eastAsia="仿宋_GB2312"/>
          <w:sz w:val="32"/>
          <w:szCs w:val="32"/>
        </w:rPr>
      </w:pPr>
      <w:r>
        <w:rPr>
          <w:rFonts w:eastAsia="仿宋_GB2312"/>
          <w:b/>
          <w:bCs/>
          <w:sz w:val="32"/>
          <w:szCs w:val="32"/>
        </w:rPr>
        <w:lastRenderedPageBreak/>
        <w:t>（二）公用经费</w:t>
      </w:r>
      <w:r>
        <w:rPr>
          <w:rFonts w:eastAsia="仿宋_GB2312" w:hint="eastAsia"/>
          <w:b/>
          <w:bCs/>
          <w:sz w:val="32"/>
          <w:szCs w:val="32"/>
        </w:rPr>
        <w:t>369.81</w:t>
      </w:r>
      <w:r>
        <w:rPr>
          <w:rFonts w:eastAsia="仿宋_GB2312"/>
          <w:b/>
          <w:bCs/>
          <w:sz w:val="32"/>
          <w:szCs w:val="32"/>
        </w:rPr>
        <w:t>万元</w:t>
      </w:r>
      <w:r>
        <w:rPr>
          <w:rFonts w:eastAsia="仿宋_GB2312"/>
          <w:sz w:val="32"/>
          <w:szCs w:val="32"/>
        </w:rPr>
        <w:t>。主要包括：</w:t>
      </w:r>
      <w:r>
        <w:rPr>
          <w:rFonts w:eastAsia="仿宋_GB2312" w:hint="eastAsia"/>
          <w:sz w:val="32"/>
          <w:szCs w:val="32"/>
        </w:rPr>
        <w:t>奖金</w:t>
      </w:r>
      <w:r>
        <w:rPr>
          <w:rFonts w:eastAsia="仿宋_GB2312" w:hint="eastAsia"/>
          <w:sz w:val="32"/>
          <w:szCs w:val="32"/>
        </w:rPr>
        <w:t>3.6</w:t>
      </w:r>
      <w:r>
        <w:rPr>
          <w:rFonts w:eastAsia="仿宋_GB2312" w:hint="eastAsia"/>
          <w:sz w:val="32"/>
          <w:szCs w:val="32"/>
        </w:rPr>
        <w:t>万元、</w:t>
      </w:r>
      <w:r>
        <w:rPr>
          <w:rFonts w:eastAsia="仿宋_GB2312"/>
          <w:sz w:val="32"/>
          <w:szCs w:val="32"/>
        </w:rPr>
        <w:t>办公费</w:t>
      </w:r>
      <w:r>
        <w:rPr>
          <w:rFonts w:eastAsia="仿宋_GB2312" w:hint="eastAsia"/>
          <w:sz w:val="32"/>
          <w:szCs w:val="32"/>
        </w:rPr>
        <w:t>4.06</w:t>
      </w:r>
      <w:r>
        <w:rPr>
          <w:rFonts w:eastAsia="仿宋_GB2312" w:hint="eastAsia"/>
          <w:sz w:val="32"/>
          <w:szCs w:val="32"/>
        </w:rPr>
        <w:t>万元</w:t>
      </w:r>
      <w:r>
        <w:rPr>
          <w:rFonts w:eastAsia="仿宋_GB2312"/>
          <w:sz w:val="32"/>
          <w:szCs w:val="32"/>
        </w:rPr>
        <w:t>、印刷费</w:t>
      </w:r>
      <w:r>
        <w:rPr>
          <w:rFonts w:eastAsia="仿宋_GB2312" w:hint="eastAsia"/>
          <w:sz w:val="32"/>
          <w:szCs w:val="32"/>
        </w:rPr>
        <w:t>2</w:t>
      </w:r>
      <w:r>
        <w:rPr>
          <w:rFonts w:eastAsia="仿宋_GB2312" w:hint="eastAsia"/>
          <w:sz w:val="32"/>
          <w:szCs w:val="32"/>
        </w:rPr>
        <w:t>万元</w:t>
      </w:r>
      <w:r>
        <w:rPr>
          <w:rFonts w:eastAsia="仿宋_GB2312"/>
          <w:sz w:val="32"/>
          <w:szCs w:val="32"/>
        </w:rPr>
        <w:t>、咨询费</w:t>
      </w:r>
      <w:r>
        <w:rPr>
          <w:rFonts w:eastAsia="仿宋_GB2312" w:hint="eastAsia"/>
          <w:sz w:val="32"/>
          <w:szCs w:val="32"/>
        </w:rPr>
        <w:t>5</w:t>
      </w:r>
      <w:r>
        <w:rPr>
          <w:rFonts w:eastAsia="仿宋_GB2312" w:hint="eastAsia"/>
          <w:sz w:val="32"/>
          <w:szCs w:val="32"/>
        </w:rPr>
        <w:t>万元</w:t>
      </w:r>
      <w:r>
        <w:rPr>
          <w:rFonts w:eastAsia="仿宋_GB2312"/>
          <w:sz w:val="32"/>
          <w:szCs w:val="32"/>
        </w:rPr>
        <w:t>、水费</w:t>
      </w:r>
      <w:r>
        <w:rPr>
          <w:rFonts w:eastAsia="仿宋_GB2312" w:hint="eastAsia"/>
          <w:sz w:val="32"/>
          <w:szCs w:val="32"/>
        </w:rPr>
        <w:t>3</w:t>
      </w:r>
      <w:r>
        <w:rPr>
          <w:rFonts w:eastAsia="仿宋_GB2312" w:hint="eastAsia"/>
          <w:sz w:val="32"/>
          <w:szCs w:val="32"/>
        </w:rPr>
        <w:t>万元</w:t>
      </w:r>
      <w:r>
        <w:rPr>
          <w:rFonts w:eastAsia="仿宋_GB2312"/>
          <w:sz w:val="32"/>
          <w:szCs w:val="32"/>
        </w:rPr>
        <w:t>、电费</w:t>
      </w:r>
      <w:r>
        <w:rPr>
          <w:rFonts w:eastAsia="仿宋_GB2312" w:hint="eastAsia"/>
          <w:sz w:val="32"/>
          <w:szCs w:val="32"/>
        </w:rPr>
        <w:t>10</w:t>
      </w:r>
      <w:r>
        <w:rPr>
          <w:rFonts w:eastAsia="仿宋_GB2312" w:hint="eastAsia"/>
          <w:sz w:val="32"/>
          <w:szCs w:val="32"/>
        </w:rPr>
        <w:t>万元</w:t>
      </w:r>
      <w:r>
        <w:rPr>
          <w:rFonts w:eastAsia="仿宋_GB2312"/>
          <w:sz w:val="32"/>
          <w:szCs w:val="32"/>
        </w:rPr>
        <w:t>、邮电费</w:t>
      </w:r>
      <w:r>
        <w:rPr>
          <w:rFonts w:eastAsia="仿宋_GB2312" w:hint="eastAsia"/>
          <w:sz w:val="32"/>
          <w:szCs w:val="32"/>
        </w:rPr>
        <w:t>2</w:t>
      </w:r>
      <w:r>
        <w:rPr>
          <w:rFonts w:eastAsia="仿宋_GB2312" w:hint="eastAsia"/>
          <w:sz w:val="32"/>
          <w:szCs w:val="32"/>
        </w:rPr>
        <w:t>万元</w:t>
      </w:r>
      <w:r>
        <w:rPr>
          <w:rFonts w:eastAsia="仿宋_GB2312"/>
          <w:sz w:val="32"/>
          <w:szCs w:val="32"/>
        </w:rPr>
        <w:t>、取暖费</w:t>
      </w:r>
      <w:r>
        <w:rPr>
          <w:rFonts w:eastAsia="仿宋_GB2312" w:hint="eastAsia"/>
          <w:sz w:val="32"/>
          <w:szCs w:val="32"/>
        </w:rPr>
        <w:t>17.2</w:t>
      </w:r>
      <w:r>
        <w:rPr>
          <w:rFonts w:eastAsia="仿宋_GB2312" w:hint="eastAsia"/>
          <w:sz w:val="32"/>
          <w:szCs w:val="32"/>
        </w:rPr>
        <w:t>万元</w:t>
      </w:r>
      <w:r>
        <w:rPr>
          <w:rFonts w:eastAsia="仿宋_GB2312"/>
          <w:sz w:val="32"/>
          <w:szCs w:val="32"/>
        </w:rPr>
        <w:t>、物业管理费</w:t>
      </w:r>
      <w:r>
        <w:rPr>
          <w:rFonts w:eastAsia="仿宋_GB2312" w:hint="eastAsia"/>
          <w:sz w:val="32"/>
          <w:szCs w:val="32"/>
        </w:rPr>
        <w:t>60.56</w:t>
      </w:r>
      <w:r>
        <w:rPr>
          <w:rFonts w:eastAsia="仿宋_GB2312" w:hint="eastAsia"/>
          <w:sz w:val="32"/>
          <w:szCs w:val="32"/>
        </w:rPr>
        <w:t>万元</w:t>
      </w:r>
      <w:r>
        <w:rPr>
          <w:rFonts w:eastAsia="仿宋_GB2312"/>
          <w:sz w:val="32"/>
          <w:szCs w:val="32"/>
        </w:rPr>
        <w:t>、差旅费</w:t>
      </w:r>
      <w:r>
        <w:rPr>
          <w:rFonts w:eastAsia="仿宋_GB2312" w:hint="eastAsia"/>
          <w:sz w:val="32"/>
          <w:szCs w:val="32"/>
        </w:rPr>
        <w:t>10.76</w:t>
      </w:r>
      <w:r>
        <w:rPr>
          <w:rFonts w:eastAsia="仿宋_GB2312" w:hint="eastAsia"/>
          <w:sz w:val="32"/>
          <w:szCs w:val="32"/>
        </w:rPr>
        <w:t>万元</w:t>
      </w:r>
      <w:r>
        <w:rPr>
          <w:rFonts w:eastAsia="仿宋_GB2312"/>
          <w:sz w:val="32"/>
          <w:szCs w:val="32"/>
        </w:rPr>
        <w:t>、维修（护）费</w:t>
      </w:r>
      <w:r>
        <w:rPr>
          <w:rFonts w:eastAsia="仿宋_GB2312" w:hint="eastAsia"/>
          <w:sz w:val="32"/>
          <w:szCs w:val="32"/>
        </w:rPr>
        <w:t>2.95</w:t>
      </w:r>
      <w:r>
        <w:rPr>
          <w:rFonts w:eastAsia="仿宋_GB2312" w:hint="eastAsia"/>
          <w:sz w:val="32"/>
          <w:szCs w:val="32"/>
        </w:rPr>
        <w:t>万元</w:t>
      </w:r>
      <w:r>
        <w:rPr>
          <w:rFonts w:eastAsia="仿宋_GB2312"/>
          <w:sz w:val="32"/>
          <w:szCs w:val="32"/>
        </w:rPr>
        <w:t>、培训费</w:t>
      </w:r>
      <w:r>
        <w:rPr>
          <w:rFonts w:eastAsia="仿宋_GB2312" w:hint="eastAsia"/>
          <w:sz w:val="32"/>
          <w:szCs w:val="32"/>
        </w:rPr>
        <w:t>5.98</w:t>
      </w:r>
      <w:r>
        <w:rPr>
          <w:rFonts w:eastAsia="仿宋_GB2312" w:hint="eastAsia"/>
          <w:sz w:val="32"/>
          <w:szCs w:val="32"/>
        </w:rPr>
        <w:t>万元</w:t>
      </w:r>
      <w:r>
        <w:rPr>
          <w:rFonts w:eastAsia="仿宋_GB2312"/>
          <w:sz w:val="32"/>
          <w:szCs w:val="32"/>
        </w:rPr>
        <w:t>、公务接待费</w:t>
      </w:r>
      <w:r>
        <w:rPr>
          <w:rFonts w:eastAsia="仿宋_GB2312" w:hint="eastAsia"/>
          <w:sz w:val="32"/>
          <w:szCs w:val="32"/>
        </w:rPr>
        <w:t>3.49</w:t>
      </w:r>
      <w:r>
        <w:rPr>
          <w:rFonts w:eastAsia="仿宋_GB2312" w:hint="eastAsia"/>
          <w:sz w:val="32"/>
          <w:szCs w:val="32"/>
        </w:rPr>
        <w:t>万元</w:t>
      </w:r>
      <w:r>
        <w:rPr>
          <w:rFonts w:eastAsia="仿宋_GB2312"/>
          <w:sz w:val="32"/>
          <w:szCs w:val="32"/>
        </w:rPr>
        <w:t>、委托业务费</w:t>
      </w:r>
      <w:r>
        <w:rPr>
          <w:rFonts w:eastAsia="仿宋_GB2312" w:hint="eastAsia"/>
          <w:sz w:val="32"/>
          <w:szCs w:val="32"/>
        </w:rPr>
        <w:t>22</w:t>
      </w:r>
      <w:r>
        <w:rPr>
          <w:rFonts w:eastAsia="仿宋_GB2312" w:hint="eastAsia"/>
          <w:sz w:val="32"/>
          <w:szCs w:val="32"/>
        </w:rPr>
        <w:t>万元、</w:t>
      </w:r>
      <w:r>
        <w:rPr>
          <w:rFonts w:eastAsia="仿宋_GB2312"/>
          <w:sz w:val="32"/>
          <w:szCs w:val="32"/>
        </w:rPr>
        <w:t>工会经费</w:t>
      </w:r>
      <w:r>
        <w:rPr>
          <w:rFonts w:eastAsia="仿宋_GB2312" w:hint="eastAsia"/>
          <w:sz w:val="32"/>
          <w:szCs w:val="32"/>
        </w:rPr>
        <w:t>26.69</w:t>
      </w:r>
      <w:r>
        <w:rPr>
          <w:rFonts w:eastAsia="仿宋_GB2312" w:hint="eastAsia"/>
          <w:sz w:val="32"/>
          <w:szCs w:val="32"/>
        </w:rPr>
        <w:t>万元</w:t>
      </w:r>
      <w:r>
        <w:rPr>
          <w:rFonts w:eastAsia="仿宋_GB2312"/>
          <w:sz w:val="32"/>
          <w:szCs w:val="32"/>
        </w:rPr>
        <w:t>、福利费</w:t>
      </w:r>
      <w:r>
        <w:rPr>
          <w:rFonts w:eastAsia="仿宋_GB2312" w:hint="eastAsia"/>
          <w:sz w:val="32"/>
          <w:szCs w:val="32"/>
        </w:rPr>
        <w:t>26.16</w:t>
      </w:r>
      <w:r>
        <w:rPr>
          <w:rFonts w:eastAsia="仿宋_GB2312" w:hint="eastAsia"/>
          <w:sz w:val="32"/>
          <w:szCs w:val="32"/>
        </w:rPr>
        <w:t>万元</w:t>
      </w:r>
      <w:r>
        <w:rPr>
          <w:rFonts w:eastAsia="仿宋_GB2312"/>
          <w:sz w:val="32"/>
          <w:szCs w:val="32"/>
        </w:rPr>
        <w:t>、公务用车运行维护费</w:t>
      </w:r>
      <w:r>
        <w:rPr>
          <w:rFonts w:eastAsia="仿宋_GB2312" w:hint="eastAsia"/>
          <w:sz w:val="32"/>
          <w:szCs w:val="32"/>
        </w:rPr>
        <w:t>61</w:t>
      </w:r>
      <w:r>
        <w:rPr>
          <w:rFonts w:eastAsia="仿宋_GB2312" w:hint="eastAsia"/>
          <w:sz w:val="32"/>
          <w:szCs w:val="32"/>
        </w:rPr>
        <w:t>万元</w:t>
      </w:r>
      <w:r>
        <w:rPr>
          <w:rFonts w:eastAsia="仿宋_GB2312"/>
          <w:sz w:val="32"/>
          <w:szCs w:val="32"/>
        </w:rPr>
        <w:t>、其他交通费用</w:t>
      </w:r>
      <w:r>
        <w:rPr>
          <w:rFonts w:eastAsia="仿宋_GB2312" w:hint="eastAsia"/>
          <w:sz w:val="32"/>
          <w:szCs w:val="32"/>
        </w:rPr>
        <w:t>94.65</w:t>
      </w:r>
      <w:r>
        <w:rPr>
          <w:rFonts w:eastAsia="仿宋_GB2312" w:hint="eastAsia"/>
          <w:sz w:val="32"/>
          <w:szCs w:val="32"/>
        </w:rPr>
        <w:t>万元</w:t>
      </w:r>
      <w:r>
        <w:rPr>
          <w:rFonts w:eastAsia="仿宋_GB2312"/>
          <w:sz w:val="32"/>
          <w:szCs w:val="32"/>
        </w:rPr>
        <w:t>、其他商品和服务支出</w:t>
      </w:r>
      <w:r>
        <w:rPr>
          <w:rFonts w:eastAsia="仿宋_GB2312" w:hint="eastAsia"/>
          <w:sz w:val="32"/>
          <w:szCs w:val="32"/>
        </w:rPr>
        <w:t>7.5</w:t>
      </w:r>
      <w:r>
        <w:rPr>
          <w:rFonts w:eastAsia="仿宋_GB2312" w:hint="eastAsia"/>
          <w:sz w:val="32"/>
          <w:szCs w:val="32"/>
        </w:rPr>
        <w:t>万元</w:t>
      </w:r>
      <w:r>
        <w:rPr>
          <w:rFonts w:eastAsia="仿宋_GB2312"/>
          <w:sz w:val="32"/>
          <w:szCs w:val="32"/>
        </w:rPr>
        <w:t>、办公设备购置</w:t>
      </w:r>
      <w:r>
        <w:rPr>
          <w:rFonts w:eastAsia="仿宋_GB2312" w:hint="eastAsia"/>
          <w:sz w:val="32"/>
          <w:szCs w:val="32"/>
        </w:rPr>
        <w:t>1.21</w:t>
      </w:r>
      <w:r>
        <w:rPr>
          <w:rFonts w:eastAsia="仿宋_GB2312" w:hint="eastAsia"/>
          <w:sz w:val="32"/>
          <w:szCs w:val="32"/>
        </w:rPr>
        <w:t>万元</w:t>
      </w:r>
      <w:r>
        <w:rPr>
          <w:rFonts w:eastAsia="仿宋_GB2312"/>
          <w:sz w:val="32"/>
          <w:szCs w:val="32"/>
        </w:rPr>
        <w:t>。</w:t>
      </w: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64.49</w:t>
      </w:r>
      <w:r>
        <w:rPr>
          <w:rFonts w:eastAsia="仿宋_GB2312"/>
          <w:sz w:val="32"/>
          <w:szCs w:val="32"/>
        </w:rPr>
        <w:t>万元，其中因公出国（境）费支出</w:t>
      </w:r>
      <w:r>
        <w:rPr>
          <w:rFonts w:eastAsia="仿宋_GB2312" w:hint="eastAsia"/>
          <w:sz w:val="32"/>
          <w:szCs w:val="32"/>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0</w:t>
      </w:r>
      <w:r>
        <w:rPr>
          <w:rFonts w:eastAsia="仿宋_GB2312"/>
          <w:sz w:val="32"/>
          <w:szCs w:val="32"/>
        </w:rPr>
        <w:t>%</w:t>
      </w:r>
      <w:r>
        <w:rPr>
          <w:rFonts w:eastAsia="仿宋_GB2312"/>
          <w:sz w:val="32"/>
          <w:szCs w:val="32"/>
        </w:rPr>
        <w:t>；公务用车购置及运行维护费支出</w:t>
      </w:r>
      <w:r>
        <w:rPr>
          <w:rFonts w:eastAsia="仿宋_GB2312" w:hint="eastAsia"/>
          <w:sz w:val="32"/>
          <w:szCs w:val="32"/>
        </w:rPr>
        <w:t>61</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94.59</w:t>
      </w:r>
      <w:r>
        <w:rPr>
          <w:rFonts w:eastAsia="仿宋_GB2312"/>
          <w:sz w:val="32"/>
          <w:szCs w:val="32"/>
        </w:rPr>
        <w:t>%</w:t>
      </w:r>
      <w:r>
        <w:rPr>
          <w:rFonts w:eastAsia="仿宋_GB2312"/>
          <w:sz w:val="32"/>
          <w:szCs w:val="32"/>
        </w:rPr>
        <w:t>；公务接待费支出</w:t>
      </w:r>
      <w:r>
        <w:rPr>
          <w:rFonts w:eastAsia="仿宋_GB2312" w:hint="eastAsia"/>
          <w:sz w:val="32"/>
          <w:szCs w:val="32"/>
        </w:rPr>
        <w:t>3.49</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5.41</w:t>
      </w:r>
      <w:r>
        <w:rPr>
          <w:rFonts w:eastAsia="仿宋_GB2312"/>
          <w:sz w:val="32"/>
          <w:szCs w:val="32"/>
        </w:rPr>
        <w:t>%</w:t>
      </w:r>
      <w:r>
        <w:rPr>
          <w:rFonts w:eastAsia="仿宋_GB2312"/>
          <w:sz w:val="32"/>
          <w:szCs w:val="32"/>
        </w:rPr>
        <w:t>。具体情况如下：</w:t>
      </w:r>
    </w:p>
    <w:p w:rsidR="00E1719B" w:rsidRDefault="008429D3">
      <w:pPr>
        <w:spacing w:line="600" w:lineRule="atLeas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64.49</w:t>
      </w:r>
      <w:r>
        <w:rPr>
          <w:rFonts w:eastAsia="仿宋_GB2312"/>
          <w:spacing w:val="-4"/>
          <w:sz w:val="32"/>
          <w:szCs w:val="32"/>
        </w:rPr>
        <w:t>万元，比上年预</w:t>
      </w:r>
      <w:r>
        <w:rPr>
          <w:rFonts w:eastAsia="仿宋_GB2312"/>
          <w:spacing w:val="-6"/>
          <w:sz w:val="32"/>
          <w:szCs w:val="32"/>
        </w:rPr>
        <w:t>算增加</w:t>
      </w:r>
      <w:r>
        <w:rPr>
          <w:rFonts w:eastAsia="仿宋_GB2312" w:hint="eastAsia"/>
          <w:spacing w:val="-6"/>
          <w:sz w:val="32"/>
          <w:szCs w:val="32"/>
        </w:rPr>
        <w:t>0</w:t>
      </w:r>
      <w:r>
        <w:rPr>
          <w:rFonts w:eastAsia="仿宋_GB2312"/>
          <w:spacing w:val="-6"/>
          <w:sz w:val="32"/>
          <w:szCs w:val="32"/>
        </w:rPr>
        <w:t>万元，</w:t>
      </w:r>
      <w:r>
        <w:rPr>
          <w:rFonts w:eastAsia="仿宋_GB2312"/>
          <w:sz w:val="32"/>
          <w:szCs w:val="32"/>
        </w:rPr>
        <w:t>增长</w:t>
      </w:r>
      <w:r>
        <w:rPr>
          <w:rFonts w:eastAsia="仿宋_GB2312" w:hint="eastAsia"/>
          <w:sz w:val="32"/>
          <w:szCs w:val="32"/>
        </w:rPr>
        <w:t>0</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E1719B" w:rsidRDefault="008429D3">
      <w:pPr>
        <w:pStyle w:val="a5"/>
        <w:spacing w:after="0" w:line="600" w:lineRule="atLeas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hint="eastAsia"/>
          <w:sz w:val="32"/>
          <w:szCs w:val="32"/>
        </w:rPr>
        <w:t>0</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本年度无</w:t>
      </w:r>
      <w:r>
        <w:rPr>
          <w:rFonts w:eastAsia="仿宋_GB2312"/>
          <w:sz w:val="32"/>
          <w:szCs w:val="32"/>
        </w:rPr>
        <w:t>因公出国（境</w:t>
      </w:r>
      <w:r>
        <w:rPr>
          <w:rFonts w:eastAsia="仿宋_GB2312" w:hint="eastAsia"/>
          <w:sz w:val="32"/>
          <w:szCs w:val="32"/>
        </w:rPr>
        <w:t>）支出</w:t>
      </w:r>
      <w:r>
        <w:rPr>
          <w:rFonts w:eastAsia="仿宋_GB2312"/>
          <w:sz w:val="32"/>
          <w:szCs w:val="32"/>
        </w:rPr>
        <w:t>。</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hint="eastAsia"/>
          <w:sz w:val="32"/>
          <w:szCs w:val="32"/>
        </w:rPr>
        <w:t>61</w:t>
      </w:r>
      <w:r>
        <w:rPr>
          <w:rFonts w:eastAsia="仿宋_GB2312"/>
          <w:sz w:val="32"/>
          <w:szCs w:val="32"/>
        </w:rPr>
        <w:t>万元。其中：</w:t>
      </w:r>
      <w:r>
        <w:rPr>
          <w:rFonts w:eastAsia="仿宋_GB2312"/>
          <w:sz w:val="32"/>
          <w:szCs w:val="32"/>
        </w:rPr>
        <w:tab/>
      </w:r>
    </w:p>
    <w:p w:rsidR="00E1719B" w:rsidRDefault="008429D3">
      <w:pPr>
        <w:pStyle w:val="a5"/>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rPr>
        <w:t>0</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本年度无</w:t>
      </w:r>
      <w:r>
        <w:rPr>
          <w:rFonts w:eastAsia="仿宋_GB2312"/>
          <w:sz w:val="32"/>
          <w:szCs w:val="32"/>
        </w:rPr>
        <w:t>公务用车购置预算支出。</w:t>
      </w:r>
    </w:p>
    <w:p w:rsidR="00E1719B" w:rsidRDefault="008429D3">
      <w:pPr>
        <w:pStyle w:val="a5"/>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rPr>
        <w:t>61</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与上年度持平</w:t>
      </w:r>
      <w:r>
        <w:rPr>
          <w:rFonts w:eastAsia="仿宋_GB2312"/>
          <w:sz w:val="32"/>
          <w:szCs w:val="32"/>
        </w:rPr>
        <w:t>。</w:t>
      </w:r>
    </w:p>
    <w:p w:rsidR="00E1719B" w:rsidRDefault="008429D3">
      <w:pPr>
        <w:pStyle w:val="a5"/>
        <w:spacing w:after="0"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hint="eastAsia"/>
          <w:sz w:val="32"/>
          <w:szCs w:val="32"/>
        </w:rPr>
        <w:t>3.49</w:t>
      </w:r>
      <w:r>
        <w:rPr>
          <w:rFonts w:eastAsia="仿宋_GB2312"/>
          <w:sz w:val="32"/>
          <w:szCs w:val="32"/>
        </w:rPr>
        <w:t>万元，比上年预算增加</w:t>
      </w:r>
      <w:r>
        <w:rPr>
          <w:rFonts w:eastAsia="仿宋_GB2312" w:hint="eastAsia"/>
          <w:sz w:val="32"/>
          <w:szCs w:val="32"/>
        </w:rPr>
        <w:t>0</w:t>
      </w:r>
      <w:r>
        <w:rPr>
          <w:rFonts w:eastAsia="仿宋_GB2312"/>
          <w:sz w:val="32"/>
          <w:szCs w:val="32"/>
        </w:rPr>
        <w:t>万元，主</w:t>
      </w:r>
      <w:r>
        <w:rPr>
          <w:rFonts w:eastAsia="仿宋_GB2312"/>
          <w:sz w:val="32"/>
          <w:szCs w:val="32"/>
        </w:rPr>
        <w:lastRenderedPageBreak/>
        <w:t>要原因</w:t>
      </w:r>
      <w:r>
        <w:rPr>
          <w:rFonts w:eastAsia="仿宋_GB2312" w:hint="eastAsia"/>
          <w:sz w:val="32"/>
          <w:szCs w:val="32"/>
        </w:rPr>
        <w:t>与上年度持平</w:t>
      </w:r>
      <w:r>
        <w:rPr>
          <w:rFonts w:eastAsia="仿宋_GB2312"/>
          <w:sz w:val="32"/>
          <w:szCs w:val="32"/>
        </w:rPr>
        <w:t>。</w:t>
      </w:r>
    </w:p>
    <w:p w:rsidR="00E1719B" w:rsidRDefault="008429D3">
      <w:pPr>
        <w:spacing w:line="600" w:lineRule="atLeas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E1719B" w:rsidRDefault="008429D3">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年政府性基金支出预算支出</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本年无政府性基金</w:t>
      </w:r>
      <w:r>
        <w:rPr>
          <w:rFonts w:ascii="仿宋" w:eastAsia="仿宋" w:hAnsi="仿宋" w:cs="仿宋" w:hint="eastAsia"/>
          <w:color w:val="333333"/>
          <w:kern w:val="0"/>
          <w:sz w:val="32"/>
          <w:szCs w:val="32"/>
          <w:shd w:val="clear" w:color="auto" w:fill="FFFFFF"/>
          <w:lang w:bidi="ar"/>
        </w:rPr>
        <w:t>预算拨款支出</w:t>
      </w:r>
      <w:r>
        <w:rPr>
          <w:rFonts w:ascii="仿宋" w:eastAsia="仿宋" w:hAnsi="仿宋" w:cs="仿宋"/>
          <w:color w:val="333333"/>
          <w:kern w:val="0"/>
          <w:sz w:val="32"/>
          <w:szCs w:val="32"/>
          <w:shd w:val="clear" w:color="auto" w:fill="FFFFFF"/>
          <w:lang w:bidi="ar"/>
        </w:rPr>
        <w:t>。</w:t>
      </w:r>
    </w:p>
    <w:p w:rsidR="00E1719B" w:rsidRDefault="008429D3">
      <w:pPr>
        <w:spacing w:line="600" w:lineRule="atLeast"/>
        <w:ind w:firstLineChars="200" w:firstLine="640"/>
        <w:outlineLvl w:val="0"/>
        <w:rPr>
          <w:rFonts w:eastAsia="仿宋_GB2312" w:cstheme="minorBidi"/>
          <w:sz w:val="32"/>
          <w:szCs w:val="32"/>
          <w:highlight w:val="yellow"/>
        </w:rPr>
      </w:pPr>
      <w:r>
        <w:rPr>
          <w:rFonts w:eastAsia="黑体" w:cs="黑体" w:hint="eastAsia"/>
          <w:sz w:val="32"/>
          <w:szCs w:val="36"/>
        </w:rPr>
        <w:t>九、国有资本经营预算支出预算情况说明</w:t>
      </w:r>
    </w:p>
    <w:p w:rsidR="00E1719B" w:rsidRDefault="008429D3">
      <w:pPr>
        <w:spacing w:line="600" w:lineRule="atLeast"/>
        <w:ind w:firstLineChars="200" w:firstLine="640"/>
        <w:rPr>
          <w:rFonts w:eastAsia="仿宋_GB2312" w:cstheme="minorBidi"/>
          <w:sz w:val="32"/>
          <w:szCs w:val="32"/>
        </w:rPr>
      </w:pPr>
      <w:r>
        <w:rPr>
          <w:rFonts w:eastAsia="仿宋_GB2312" w:hint="eastAsia"/>
          <w:sz w:val="32"/>
          <w:szCs w:val="32"/>
        </w:rPr>
        <w:t>锡林郭勒盟市场监督管理局</w:t>
      </w:r>
      <w:r>
        <w:rPr>
          <w:rFonts w:eastAsia="仿宋_GB2312" w:hint="eastAsia"/>
          <w:sz w:val="32"/>
          <w:szCs w:val="32"/>
        </w:rPr>
        <w:t>2024</w:t>
      </w:r>
      <w:r>
        <w:rPr>
          <w:rFonts w:eastAsia="仿宋_GB2312"/>
          <w:sz w:val="32"/>
          <w:szCs w:val="32"/>
        </w:rPr>
        <w:t>年</w:t>
      </w:r>
      <w:r>
        <w:rPr>
          <w:rFonts w:eastAsia="仿宋_GB2312" w:cstheme="minorBidi" w:hint="eastAsia"/>
          <w:sz w:val="32"/>
          <w:szCs w:val="32"/>
        </w:rPr>
        <w:t>国有资本经营预算支出</w:t>
      </w:r>
      <w:r>
        <w:rPr>
          <w:rFonts w:eastAsia="仿宋_GB2312" w:cstheme="minorBidi" w:hint="eastAsia"/>
          <w:sz w:val="32"/>
          <w:szCs w:val="32"/>
        </w:rPr>
        <w:t>0</w:t>
      </w:r>
      <w:r>
        <w:rPr>
          <w:rFonts w:eastAsia="仿宋_GB2312" w:cstheme="minorBidi" w:hint="eastAsia"/>
          <w:sz w:val="32"/>
          <w:szCs w:val="32"/>
        </w:rPr>
        <w:t>万元。与上年相比增加</w:t>
      </w:r>
      <w:r>
        <w:rPr>
          <w:rFonts w:eastAsia="仿宋_GB2312" w:cstheme="minorBidi" w:hint="eastAsia"/>
          <w:sz w:val="32"/>
          <w:szCs w:val="32"/>
        </w:rPr>
        <w:t>0</w:t>
      </w:r>
      <w:r>
        <w:rPr>
          <w:rFonts w:eastAsia="仿宋_GB2312" w:cstheme="minorBidi" w:hint="eastAsia"/>
          <w:sz w:val="32"/>
          <w:szCs w:val="32"/>
        </w:rPr>
        <w:t>万元，增长</w:t>
      </w:r>
      <w:r>
        <w:rPr>
          <w:rFonts w:eastAsia="仿宋_GB2312" w:cstheme="minorBidi" w:hint="eastAsia"/>
          <w:sz w:val="32"/>
          <w:szCs w:val="32"/>
        </w:rPr>
        <w:t>0%</w:t>
      </w:r>
      <w:r>
        <w:rPr>
          <w:rFonts w:eastAsia="仿宋_GB2312" w:cstheme="minorBidi" w:hint="eastAsia"/>
          <w:sz w:val="32"/>
          <w:szCs w:val="32"/>
        </w:rPr>
        <w:t>。主要原因是本年无国有资本经营预算拨款支出。</w:t>
      </w:r>
    </w:p>
    <w:p w:rsidR="00E1719B" w:rsidRDefault="008429D3">
      <w:pPr>
        <w:spacing w:line="600" w:lineRule="atLeast"/>
        <w:ind w:firstLineChars="200" w:firstLine="640"/>
        <w:rPr>
          <w:i/>
          <w:iCs/>
          <w:highlight w:val="yellow"/>
        </w:rPr>
      </w:pPr>
      <w:r>
        <w:rPr>
          <w:rFonts w:eastAsia="黑体" w:cs="黑体" w:hint="eastAsia"/>
          <w:sz w:val="32"/>
          <w:szCs w:val="36"/>
        </w:rPr>
        <w:t>十、项目支出预算情况说明</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年锡林郭勒盟市场监督管理局</w:t>
      </w:r>
      <w:r>
        <w:rPr>
          <w:rFonts w:eastAsia="仿宋_GB2312"/>
          <w:sz w:val="32"/>
          <w:szCs w:val="32"/>
        </w:rPr>
        <w:t>预算安排项目</w:t>
      </w:r>
      <w:r>
        <w:rPr>
          <w:rFonts w:eastAsia="仿宋_GB2312" w:hint="eastAsia"/>
          <w:sz w:val="32"/>
          <w:szCs w:val="32"/>
        </w:rPr>
        <w:t>19</w:t>
      </w:r>
      <w:r>
        <w:rPr>
          <w:rFonts w:eastAsia="仿宋_GB2312"/>
          <w:sz w:val="32"/>
          <w:szCs w:val="32"/>
        </w:rPr>
        <w:t>个，项目预算总金额</w:t>
      </w:r>
      <w:r>
        <w:rPr>
          <w:rFonts w:eastAsia="仿宋_GB2312" w:hint="eastAsia"/>
          <w:sz w:val="32"/>
          <w:szCs w:val="32"/>
        </w:rPr>
        <w:t>1126.4</w:t>
      </w:r>
      <w:r>
        <w:rPr>
          <w:rFonts w:eastAsia="仿宋_GB2312"/>
          <w:sz w:val="32"/>
          <w:szCs w:val="32"/>
        </w:rPr>
        <w:t>万元。其中，财政本年拨款金额</w:t>
      </w:r>
      <w:r>
        <w:rPr>
          <w:rFonts w:eastAsia="仿宋_GB2312" w:hint="eastAsia"/>
          <w:sz w:val="32"/>
          <w:szCs w:val="32"/>
        </w:rPr>
        <w:t>629.3</w:t>
      </w:r>
      <w:r>
        <w:rPr>
          <w:rFonts w:eastAsia="仿宋_GB2312"/>
          <w:sz w:val="32"/>
          <w:szCs w:val="32"/>
        </w:rPr>
        <w:t>万元，财政拨款结转结余</w:t>
      </w:r>
      <w:r>
        <w:rPr>
          <w:rFonts w:eastAsia="仿宋_GB2312" w:hint="eastAsia"/>
          <w:sz w:val="32"/>
          <w:szCs w:val="32"/>
        </w:rPr>
        <w:t>497.1</w:t>
      </w:r>
      <w:r>
        <w:rPr>
          <w:rFonts w:eastAsia="仿宋_GB2312"/>
          <w:sz w:val="32"/>
          <w:szCs w:val="32"/>
        </w:rPr>
        <w:t>万元，财政专户管理资金</w:t>
      </w:r>
      <w:r>
        <w:rPr>
          <w:rFonts w:eastAsia="仿宋_GB2312" w:hint="eastAsia"/>
          <w:sz w:val="32"/>
          <w:szCs w:val="32"/>
        </w:rPr>
        <w:t>0</w:t>
      </w:r>
      <w:r>
        <w:rPr>
          <w:rFonts w:eastAsia="仿宋_GB2312"/>
          <w:sz w:val="32"/>
          <w:szCs w:val="32"/>
        </w:rPr>
        <w:t>万元，单位资金</w:t>
      </w:r>
      <w:r>
        <w:rPr>
          <w:rFonts w:eastAsia="仿宋_GB2312" w:hint="eastAsia"/>
          <w:sz w:val="32"/>
          <w:szCs w:val="32"/>
        </w:rPr>
        <w:t>0</w:t>
      </w:r>
      <w:r>
        <w:rPr>
          <w:rFonts w:eastAsia="仿宋_GB2312"/>
          <w:sz w:val="32"/>
          <w:szCs w:val="32"/>
        </w:rPr>
        <w:t>万元。</w:t>
      </w:r>
    </w:p>
    <w:p w:rsidR="00E1719B" w:rsidRDefault="008429D3">
      <w:pPr>
        <w:spacing w:line="600" w:lineRule="atLeast"/>
        <w:ind w:firstLineChars="200" w:firstLine="640"/>
        <w:rPr>
          <w:rFonts w:eastAsia="仿宋_GB2312"/>
          <w:sz w:val="32"/>
          <w:szCs w:val="32"/>
        </w:rPr>
      </w:pPr>
      <w:r>
        <w:rPr>
          <w:rFonts w:eastAsia="仿宋_GB2312"/>
          <w:sz w:val="32"/>
          <w:szCs w:val="32"/>
        </w:rPr>
        <w:t>（一）</w:t>
      </w:r>
      <w:r>
        <w:rPr>
          <w:rFonts w:eastAsia="仿宋_GB2312" w:hint="eastAsia"/>
          <w:sz w:val="32"/>
          <w:szCs w:val="32"/>
        </w:rPr>
        <w:t>2024</w:t>
      </w:r>
      <w:r>
        <w:rPr>
          <w:rFonts w:eastAsia="仿宋_GB2312" w:hint="eastAsia"/>
          <w:sz w:val="32"/>
          <w:szCs w:val="32"/>
        </w:rPr>
        <w:t>年创建国家食品安全示范城市工作资金</w:t>
      </w:r>
    </w:p>
    <w:p w:rsidR="00E1719B" w:rsidRDefault="008429D3">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创建国家食品安全示范城市，开展创城宣传活动、创城食品抽检业务及创城工作验收和满意度调查等工作。</w:t>
      </w:r>
    </w:p>
    <w:p w:rsidR="00E1719B" w:rsidRDefault="008429D3">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根据《锡林郭勒盟创建国家食品安全示范城市工作方案》的要求，开展创建国家食品安全示范城市工作，</w:t>
      </w:r>
      <w:r>
        <w:rPr>
          <w:rFonts w:eastAsia="仿宋_GB2312"/>
          <w:sz w:val="32"/>
          <w:szCs w:val="32"/>
        </w:rPr>
        <w:t>故申请此项目保障</w:t>
      </w:r>
      <w:r>
        <w:rPr>
          <w:rFonts w:eastAsia="仿宋_GB2312" w:hint="eastAsia"/>
          <w:sz w:val="32"/>
          <w:szCs w:val="32"/>
        </w:rPr>
        <w:t>创城工作</w:t>
      </w:r>
      <w:r>
        <w:rPr>
          <w:rFonts w:eastAsia="仿宋_GB2312"/>
          <w:sz w:val="32"/>
          <w:szCs w:val="32"/>
        </w:rPr>
        <w:t>正常进行。</w:t>
      </w:r>
    </w:p>
    <w:p w:rsidR="00E1719B" w:rsidRDefault="008429D3">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实施方案</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根据财政批复</w:t>
      </w:r>
      <w:r>
        <w:rPr>
          <w:rFonts w:eastAsia="仿宋_GB2312" w:hint="eastAsia"/>
          <w:sz w:val="32"/>
          <w:szCs w:val="32"/>
        </w:rPr>
        <w:t>创建国家食品安全示范城市工作资金</w:t>
      </w:r>
      <w:r>
        <w:rPr>
          <w:rFonts w:eastAsia="仿宋_GB2312"/>
          <w:sz w:val="32"/>
          <w:szCs w:val="32"/>
        </w:rPr>
        <w:t>预算</w:t>
      </w:r>
      <w:r>
        <w:rPr>
          <w:rFonts w:eastAsia="仿宋_GB2312"/>
          <w:sz w:val="32"/>
          <w:szCs w:val="32"/>
        </w:rPr>
        <w:t xml:space="preserve"> </w:t>
      </w:r>
      <w:r>
        <w:rPr>
          <w:rFonts w:eastAsia="仿宋_GB2312"/>
          <w:sz w:val="32"/>
          <w:szCs w:val="32"/>
        </w:rPr>
        <w:t>，</w:t>
      </w:r>
      <w:r>
        <w:rPr>
          <w:rFonts w:eastAsia="仿宋_GB2312" w:hint="eastAsia"/>
          <w:sz w:val="32"/>
          <w:szCs w:val="32"/>
        </w:rPr>
        <w:t>宣传费主要用于开展创城宣传活动、办公费等主要用于创城食品抽检业务及差旅费等创城工作验收和满意度调查等工作。</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221.3</w:t>
      </w:r>
      <w:r>
        <w:rPr>
          <w:rFonts w:eastAsia="仿宋_GB2312" w:hint="eastAsia"/>
          <w:sz w:val="32"/>
          <w:szCs w:val="32"/>
        </w:rPr>
        <w:t>万</w:t>
      </w:r>
      <w:r>
        <w:rPr>
          <w:rFonts w:eastAsia="仿宋_GB2312"/>
          <w:sz w:val="32"/>
          <w:szCs w:val="32"/>
        </w:rPr>
        <w:t>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（二）全盟地方特色乳制品产业重点资金</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sz w:val="32"/>
          <w:szCs w:val="32"/>
        </w:rPr>
        <w:t>项目概述</w:t>
      </w:r>
      <w:r>
        <w:rPr>
          <w:rFonts w:eastAsia="仿宋_GB2312"/>
          <w:sz w:val="32"/>
          <w:szCs w:val="32"/>
        </w:rPr>
        <w:t xml:space="preserve"> </w:t>
      </w:r>
    </w:p>
    <w:p w:rsidR="00E1719B" w:rsidRDefault="0075660C">
      <w:pPr>
        <w:spacing w:line="600" w:lineRule="atLeast"/>
        <w:ind w:firstLineChars="200" w:firstLine="640"/>
        <w:rPr>
          <w:rFonts w:eastAsia="仿宋_GB2312"/>
          <w:sz w:val="32"/>
          <w:szCs w:val="32"/>
        </w:rPr>
      </w:pPr>
      <w:r>
        <w:rPr>
          <w:rFonts w:eastAsia="仿宋_GB2312" w:hint="eastAsia"/>
          <w:sz w:val="32"/>
          <w:szCs w:val="32"/>
        </w:rPr>
        <w:t>本项目主要用于</w:t>
      </w:r>
      <w:r w:rsidR="008429D3">
        <w:rPr>
          <w:rFonts w:eastAsia="仿宋_GB2312" w:hint="eastAsia"/>
          <w:sz w:val="32"/>
          <w:szCs w:val="32"/>
        </w:rPr>
        <w:t>传统奶制品的检验检测、蒙字标培育项目。</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根据市场局职能职责及内蒙古自治区办公厅《内蒙古自治区人民政府办公厅关于推进奶业振兴的实施意见》（内政办发〔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20</w:t>
      </w:r>
      <w:r>
        <w:rPr>
          <w:rFonts w:eastAsia="仿宋_GB2312" w:hint="eastAsia"/>
          <w:sz w:val="32"/>
          <w:szCs w:val="32"/>
        </w:rPr>
        <w:t>号），锡林郭勒盟行署《关于印发＜关于促进全盟民族传统奶制品产业发展的实施意见＞的通知》（锡署发</w:t>
      </w:r>
      <w:r>
        <w:rPr>
          <w:rFonts w:eastAsia="仿宋_GB2312" w:hint="eastAsia"/>
          <w:sz w:val="32"/>
          <w:szCs w:val="32"/>
        </w:rPr>
        <w:t>[2020]46</w:t>
      </w:r>
      <w:r>
        <w:rPr>
          <w:rFonts w:eastAsia="仿宋_GB2312" w:hint="eastAsia"/>
          <w:sz w:val="32"/>
          <w:szCs w:val="32"/>
        </w:rPr>
        <w:t>号）和《锡盟传统奶制品产业发展</w:t>
      </w:r>
      <w:r>
        <w:rPr>
          <w:rFonts w:eastAsia="仿宋_GB2312" w:hint="eastAsia"/>
          <w:sz w:val="32"/>
          <w:szCs w:val="32"/>
        </w:rPr>
        <w:t>2022</w:t>
      </w:r>
      <w:r>
        <w:rPr>
          <w:rFonts w:eastAsia="仿宋_GB2312" w:hint="eastAsia"/>
          <w:sz w:val="32"/>
          <w:szCs w:val="32"/>
        </w:rPr>
        <w:t>年工作计划》的要求开展此项工作，申请此项目保障</w:t>
      </w:r>
      <w:r>
        <w:rPr>
          <w:rFonts w:eastAsia="仿宋_GB2312" w:hint="eastAsia"/>
          <w:sz w:val="32"/>
          <w:szCs w:val="32"/>
        </w:rPr>
        <w:t>2024</w:t>
      </w:r>
      <w:r>
        <w:rPr>
          <w:rFonts w:eastAsia="仿宋_GB2312" w:hint="eastAsia"/>
          <w:sz w:val="32"/>
          <w:szCs w:val="32"/>
        </w:rPr>
        <w:t>年传统奶制品产业发展业务正常进行。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根据财政批复全盟地方特色乳制品产业重点资金制定本年业务预算</w:t>
      </w:r>
      <w:r>
        <w:rPr>
          <w:rFonts w:eastAsia="仿宋_GB2312" w:hint="eastAsia"/>
          <w:sz w:val="32"/>
          <w:szCs w:val="32"/>
        </w:rPr>
        <w:t xml:space="preserve"> </w:t>
      </w:r>
      <w:r>
        <w:rPr>
          <w:rFonts w:eastAsia="仿宋_GB2312" w:hint="eastAsia"/>
          <w:sz w:val="32"/>
          <w:szCs w:val="32"/>
        </w:rPr>
        <w:t>，资金安排如下：</w:t>
      </w:r>
      <w:r>
        <w:rPr>
          <w:rFonts w:eastAsia="仿宋_GB2312" w:hint="eastAsia"/>
          <w:sz w:val="32"/>
          <w:szCs w:val="32"/>
        </w:rPr>
        <w:t xml:space="preserve"> 1.</w:t>
      </w:r>
      <w:r>
        <w:rPr>
          <w:rFonts w:eastAsia="仿宋_GB2312" w:hint="eastAsia"/>
          <w:sz w:val="32"/>
          <w:szCs w:val="32"/>
        </w:rPr>
        <w:t>传统奶制品检验检测资金</w:t>
      </w:r>
      <w:r>
        <w:rPr>
          <w:rFonts w:eastAsia="仿宋_GB2312" w:hint="eastAsia"/>
          <w:sz w:val="32"/>
          <w:szCs w:val="32"/>
        </w:rPr>
        <w:t>130</w:t>
      </w:r>
      <w:r>
        <w:rPr>
          <w:rFonts w:eastAsia="仿宋_GB2312" w:hint="eastAsia"/>
          <w:sz w:val="32"/>
          <w:szCs w:val="32"/>
        </w:rPr>
        <w:t>万元，对全盟</w:t>
      </w:r>
      <w:r>
        <w:rPr>
          <w:rFonts w:eastAsia="仿宋_GB2312" w:hint="eastAsia"/>
          <w:sz w:val="32"/>
          <w:szCs w:val="32"/>
        </w:rPr>
        <w:lastRenderedPageBreak/>
        <w:t>传统奶制品生产企业、小作坊奶制品开展全覆盖抽检；</w:t>
      </w:r>
      <w:r>
        <w:rPr>
          <w:rFonts w:eastAsia="仿宋_GB2312" w:hint="eastAsia"/>
          <w:sz w:val="32"/>
          <w:szCs w:val="32"/>
        </w:rPr>
        <w:t>2.</w:t>
      </w:r>
      <w:r>
        <w:rPr>
          <w:rFonts w:eastAsia="仿宋_GB2312" w:hint="eastAsia"/>
          <w:sz w:val="32"/>
          <w:szCs w:val="32"/>
        </w:rPr>
        <w:t>蒙字标培育业务</w:t>
      </w:r>
      <w:r>
        <w:rPr>
          <w:rFonts w:eastAsia="仿宋_GB2312" w:hint="eastAsia"/>
          <w:sz w:val="32"/>
          <w:szCs w:val="32"/>
        </w:rPr>
        <w:t>10</w:t>
      </w:r>
      <w:r>
        <w:rPr>
          <w:rFonts w:eastAsia="仿宋_GB2312" w:hint="eastAsia"/>
          <w:sz w:val="32"/>
          <w:szCs w:val="32"/>
        </w:rPr>
        <w:t>万元，用于对奶制品企业开展蒙字标调研、培训等业务。</w:t>
      </w:r>
    </w:p>
    <w:p w:rsidR="00E1719B" w:rsidRDefault="008429D3">
      <w:pPr>
        <w:spacing w:line="600" w:lineRule="atLeast"/>
        <w:ind w:firstLineChars="200" w:firstLine="640"/>
        <w:rPr>
          <w:rFonts w:eastAsia="仿宋_GB2312"/>
          <w:sz w:val="32"/>
          <w:szCs w:val="32"/>
        </w:rPr>
      </w:pPr>
      <w:r>
        <w:rPr>
          <w:rFonts w:eastAsia="仿宋_GB2312"/>
          <w:sz w:val="32"/>
          <w:szCs w:val="32"/>
        </w:rPr>
        <w:t xml:space="preserve"> 5.</w:t>
      </w:r>
      <w:r>
        <w:rPr>
          <w:rFonts w:eastAsia="仿宋_GB2312"/>
          <w:sz w:val="32"/>
          <w:szCs w:val="32"/>
        </w:rPr>
        <w:t>实施周期</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140</w:t>
      </w:r>
      <w:r>
        <w:rPr>
          <w:rFonts w:eastAsia="仿宋_GB2312" w:hint="eastAsia"/>
          <w:sz w:val="32"/>
          <w:szCs w:val="32"/>
        </w:rPr>
        <w:t>万</w:t>
      </w:r>
      <w:r>
        <w:rPr>
          <w:rFonts w:eastAsia="仿宋_GB2312"/>
          <w:sz w:val="32"/>
          <w:szCs w:val="32"/>
        </w:rPr>
        <w:t>元。</w:t>
      </w:r>
    </w:p>
    <w:p w:rsidR="00E1719B" w:rsidRDefault="008429D3">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w:t>
      </w:r>
      <w:r>
        <w:rPr>
          <w:rFonts w:eastAsia="仿宋_GB2312" w:hint="eastAsia"/>
          <w:sz w:val="32"/>
          <w:szCs w:val="32"/>
        </w:rPr>
        <w:t>创建国家食品安全示范城市工作资金</w:t>
      </w:r>
    </w:p>
    <w:p w:rsidR="00E1719B" w:rsidRDefault="008429D3">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创建国家食品安全示范城市，开展创城宣传活动、创城食品抽检业务及创城工作验收和满意度调查等工作。</w:t>
      </w:r>
    </w:p>
    <w:p w:rsidR="00E1719B" w:rsidRDefault="008429D3">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根据《锡林郭勒盟创建国家食品安全示范城市工作方案》的要求，开展创建国家食品安全示范城市工作，</w:t>
      </w:r>
      <w:r>
        <w:rPr>
          <w:rFonts w:eastAsia="仿宋_GB2312"/>
          <w:sz w:val="32"/>
          <w:szCs w:val="32"/>
        </w:rPr>
        <w:t>故申请此项目保障</w:t>
      </w:r>
      <w:r>
        <w:rPr>
          <w:rFonts w:eastAsia="仿宋_GB2312" w:hint="eastAsia"/>
          <w:sz w:val="32"/>
          <w:szCs w:val="32"/>
        </w:rPr>
        <w:t>创城工作</w:t>
      </w:r>
      <w:r>
        <w:rPr>
          <w:rFonts w:eastAsia="仿宋_GB2312"/>
          <w:sz w:val="32"/>
          <w:szCs w:val="32"/>
        </w:rPr>
        <w:t>正常进行。</w:t>
      </w:r>
    </w:p>
    <w:p w:rsidR="00E1719B" w:rsidRDefault="008429D3">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根据财政批复</w:t>
      </w:r>
      <w:r>
        <w:rPr>
          <w:rFonts w:eastAsia="仿宋_GB2312" w:hint="eastAsia"/>
          <w:sz w:val="32"/>
          <w:szCs w:val="32"/>
        </w:rPr>
        <w:t>创建国家食品安全示范城市工作资金</w:t>
      </w:r>
      <w:r>
        <w:rPr>
          <w:rFonts w:eastAsia="仿宋_GB2312"/>
          <w:sz w:val="32"/>
          <w:szCs w:val="32"/>
        </w:rPr>
        <w:t>预算</w:t>
      </w:r>
      <w:r>
        <w:rPr>
          <w:rFonts w:eastAsia="仿宋_GB2312"/>
          <w:sz w:val="32"/>
          <w:szCs w:val="32"/>
        </w:rPr>
        <w:t xml:space="preserve"> </w:t>
      </w:r>
      <w:r>
        <w:rPr>
          <w:rFonts w:eastAsia="仿宋_GB2312"/>
          <w:sz w:val="32"/>
          <w:szCs w:val="32"/>
        </w:rPr>
        <w:t>，</w:t>
      </w:r>
      <w:r>
        <w:rPr>
          <w:rFonts w:eastAsia="仿宋_GB2312" w:hint="eastAsia"/>
          <w:sz w:val="32"/>
          <w:szCs w:val="32"/>
        </w:rPr>
        <w:t>宣传费主要用于开展创城宣传活动、办公费等主要用于创城食品抽检业务及差旅费等创城工作验收和满意度调查等工作。</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lastRenderedPageBreak/>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221.3</w:t>
      </w:r>
      <w:r>
        <w:rPr>
          <w:rFonts w:eastAsia="仿宋_GB2312" w:hint="eastAsia"/>
          <w:sz w:val="32"/>
          <w:szCs w:val="32"/>
        </w:rPr>
        <w:t>万</w:t>
      </w:r>
      <w:r>
        <w:rPr>
          <w:rFonts w:eastAsia="仿宋_GB2312"/>
          <w:sz w:val="32"/>
          <w:szCs w:val="32"/>
        </w:rPr>
        <w:t>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（四）办公楼维修</w:t>
      </w:r>
    </w:p>
    <w:p w:rsidR="00E1719B" w:rsidRDefault="008429D3">
      <w:pPr>
        <w:spacing w:line="600" w:lineRule="atLeast"/>
        <w:ind w:firstLineChars="200" w:firstLine="640"/>
        <w:rPr>
          <w:rFonts w:eastAsia="仿宋_GB2312"/>
          <w:sz w:val="32"/>
          <w:szCs w:val="32"/>
        </w:rPr>
      </w:pPr>
      <w:r>
        <w:rPr>
          <w:rFonts w:eastAsia="仿宋_GB2312"/>
          <w:sz w:val="32"/>
          <w:szCs w:val="32"/>
        </w:rPr>
        <w:t xml:space="preserve"> 1.</w:t>
      </w:r>
      <w:r>
        <w:rPr>
          <w:rFonts w:eastAsia="仿宋_GB2312"/>
          <w:sz w:val="32"/>
          <w:szCs w:val="32"/>
        </w:rPr>
        <w:t>项目概述</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我局办公楼维修，主要用于楼体维修、变压器、变电箱维修、供热管道及办公楼下水改造等工程。</w:t>
      </w:r>
    </w:p>
    <w:p w:rsidR="00E1719B" w:rsidRDefault="008429D3">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我局办公楼年代久远，设施老化，为提高楼梯安全性及为单位职工提供稳定的工作环境开展此项工程</w:t>
      </w:r>
      <w:r>
        <w:rPr>
          <w:rFonts w:eastAsia="仿宋_GB2312"/>
          <w:sz w:val="32"/>
          <w:szCs w:val="32"/>
        </w:rPr>
        <w:t>。</w:t>
      </w:r>
    </w:p>
    <w:p w:rsidR="00E1719B" w:rsidRDefault="008429D3">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根据财政批复</w:t>
      </w:r>
      <w:r>
        <w:rPr>
          <w:rFonts w:eastAsia="仿宋_GB2312" w:hint="eastAsia"/>
          <w:sz w:val="32"/>
          <w:szCs w:val="32"/>
        </w:rPr>
        <w:t>办公楼维修</w:t>
      </w:r>
      <w:r>
        <w:rPr>
          <w:rFonts w:eastAsia="仿宋_GB2312"/>
          <w:sz w:val="32"/>
          <w:szCs w:val="32"/>
        </w:rPr>
        <w:t>预算</w:t>
      </w:r>
      <w:r>
        <w:rPr>
          <w:rFonts w:eastAsia="仿宋_GB2312"/>
          <w:sz w:val="32"/>
          <w:szCs w:val="32"/>
        </w:rPr>
        <w:t xml:space="preserve"> </w:t>
      </w:r>
      <w:r>
        <w:rPr>
          <w:rFonts w:eastAsia="仿宋_GB2312"/>
          <w:sz w:val="32"/>
          <w:szCs w:val="32"/>
        </w:rPr>
        <w:t>，</w:t>
      </w:r>
      <w:r>
        <w:rPr>
          <w:rFonts w:eastAsia="仿宋_GB2312" w:hint="eastAsia"/>
          <w:sz w:val="32"/>
          <w:szCs w:val="32"/>
        </w:rPr>
        <w:t>大型修缮业务费主要用于楼体维修、变压器、变电箱维修、供热管道及办公楼下水改造等工程。</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180</w:t>
      </w:r>
      <w:r>
        <w:rPr>
          <w:rFonts w:eastAsia="仿宋_GB2312" w:hint="eastAsia"/>
          <w:sz w:val="32"/>
          <w:szCs w:val="32"/>
        </w:rPr>
        <w:t>万</w:t>
      </w:r>
      <w:r>
        <w:rPr>
          <w:rFonts w:eastAsia="仿宋_GB2312"/>
          <w:sz w:val="32"/>
          <w:szCs w:val="32"/>
        </w:rPr>
        <w:t>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（五）奶制品产业发展资金</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E1719B" w:rsidRDefault="0075660C">
      <w:pPr>
        <w:spacing w:line="600" w:lineRule="atLeast"/>
        <w:ind w:firstLineChars="200" w:firstLine="640"/>
        <w:rPr>
          <w:rFonts w:eastAsia="仿宋_GB2312"/>
          <w:sz w:val="32"/>
          <w:szCs w:val="32"/>
        </w:rPr>
      </w:pPr>
      <w:r>
        <w:rPr>
          <w:rFonts w:eastAsia="仿宋_GB2312" w:hint="eastAsia"/>
          <w:sz w:val="32"/>
          <w:szCs w:val="32"/>
        </w:rPr>
        <w:t>本项目主要用于</w:t>
      </w:r>
      <w:r w:rsidR="008429D3">
        <w:rPr>
          <w:rFonts w:eastAsia="仿宋_GB2312" w:hint="eastAsia"/>
          <w:sz w:val="32"/>
          <w:szCs w:val="32"/>
        </w:rPr>
        <w:t>传统奶制品的检验检测。</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根据市场局职能职责及内蒙古自治区办公厅《内蒙古自治区人民政府办公厅关于推进奶业振兴的实施意见》（内政办发〔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20</w:t>
      </w:r>
      <w:r>
        <w:rPr>
          <w:rFonts w:eastAsia="仿宋_GB2312" w:hint="eastAsia"/>
          <w:sz w:val="32"/>
          <w:szCs w:val="32"/>
        </w:rPr>
        <w:t>号），</w:t>
      </w:r>
      <w:r>
        <w:rPr>
          <w:rFonts w:eastAsia="仿宋_GB2312" w:hint="eastAsia"/>
          <w:sz w:val="32"/>
          <w:szCs w:val="32"/>
        </w:rPr>
        <w:lastRenderedPageBreak/>
        <w:t>锡林郭勒盟行署《关于印发＜关于促进全盟民族传统奶制品产业发展的实施意见＞的通知》（锡署发</w:t>
      </w:r>
      <w:r>
        <w:rPr>
          <w:rFonts w:eastAsia="仿宋_GB2312" w:hint="eastAsia"/>
          <w:sz w:val="32"/>
          <w:szCs w:val="32"/>
        </w:rPr>
        <w:t>[2020]46</w:t>
      </w:r>
      <w:r>
        <w:rPr>
          <w:rFonts w:eastAsia="仿宋_GB2312" w:hint="eastAsia"/>
          <w:sz w:val="32"/>
          <w:szCs w:val="32"/>
        </w:rPr>
        <w:t>号）和《锡盟传统奶制品产业发展</w:t>
      </w:r>
      <w:r>
        <w:rPr>
          <w:rFonts w:eastAsia="仿宋_GB2312" w:hint="eastAsia"/>
          <w:sz w:val="32"/>
          <w:szCs w:val="32"/>
        </w:rPr>
        <w:t>2022</w:t>
      </w:r>
      <w:r>
        <w:rPr>
          <w:rFonts w:eastAsia="仿宋_GB2312" w:hint="eastAsia"/>
          <w:sz w:val="32"/>
          <w:szCs w:val="32"/>
        </w:rPr>
        <w:t>年工作计划》的要求开展此项工作，申请此项目保障</w:t>
      </w:r>
      <w:r>
        <w:rPr>
          <w:rFonts w:eastAsia="仿宋_GB2312" w:hint="eastAsia"/>
          <w:sz w:val="32"/>
          <w:szCs w:val="32"/>
        </w:rPr>
        <w:t>2024</w:t>
      </w:r>
      <w:r>
        <w:rPr>
          <w:rFonts w:eastAsia="仿宋_GB2312" w:hint="eastAsia"/>
          <w:sz w:val="32"/>
          <w:szCs w:val="32"/>
        </w:rPr>
        <w:t>年传统奶制品产业发展业务正常进行。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根据财政批复奶制品产业发展资金制定本年业务预算</w:t>
      </w:r>
      <w:r>
        <w:rPr>
          <w:rFonts w:eastAsia="仿宋_GB2312" w:hint="eastAsia"/>
          <w:sz w:val="32"/>
          <w:szCs w:val="32"/>
        </w:rPr>
        <w:t xml:space="preserve"> </w:t>
      </w:r>
      <w:r>
        <w:rPr>
          <w:rFonts w:eastAsia="仿宋_GB2312" w:hint="eastAsia"/>
          <w:sz w:val="32"/>
          <w:szCs w:val="32"/>
        </w:rPr>
        <w:t>，资金安排如下：邮电费主要用于邮寄抽样品、委托业务费主要用于审计奶业协会资金使用情况、其他商品服务支出主要用于奶制品抽样。</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年该项目预算</w:t>
      </w:r>
      <w:r>
        <w:rPr>
          <w:rFonts w:eastAsia="仿宋_GB2312" w:hint="eastAsia"/>
          <w:sz w:val="32"/>
          <w:szCs w:val="32"/>
        </w:rPr>
        <w:t>6.66</w:t>
      </w:r>
      <w:r>
        <w:rPr>
          <w:rFonts w:eastAsia="仿宋_GB2312" w:hint="eastAsia"/>
          <w:sz w:val="32"/>
          <w:szCs w:val="32"/>
        </w:rPr>
        <w:t>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（六）安全生产专项经费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针对自治区安全生产专项巡视提出我盟重点行业领域安全生产监管人员薄弱，行署召开专题会议部署，安排</w:t>
      </w:r>
      <w:r>
        <w:rPr>
          <w:rFonts w:eastAsia="仿宋_GB2312" w:hint="eastAsia"/>
          <w:sz w:val="32"/>
          <w:szCs w:val="32"/>
        </w:rPr>
        <w:t>15</w:t>
      </w:r>
      <w:r>
        <w:rPr>
          <w:rFonts w:eastAsia="仿宋_GB2312" w:hint="eastAsia"/>
          <w:sz w:val="32"/>
          <w:szCs w:val="32"/>
        </w:rPr>
        <w:t>万元用于安委会</w:t>
      </w:r>
      <w:r>
        <w:rPr>
          <w:rFonts w:eastAsia="仿宋_GB2312" w:hint="eastAsia"/>
          <w:sz w:val="32"/>
          <w:szCs w:val="32"/>
        </w:rPr>
        <w:t>8</w:t>
      </w:r>
      <w:r>
        <w:rPr>
          <w:rFonts w:eastAsia="仿宋_GB2312" w:hint="eastAsia"/>
          <w:sz w:val="32"/>
          <w:szCs w:val="32"/>
        </w:rPr>
        <w:t>个专委会牵头部门督导检查等相关检查费用。</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根据自治区安全生产专项巡视提出我盟重点行业领域安全生产要求及行署召开专题会议要求开展此项工作，申请此项目保障</w:t>
      </w:r>
      <w:r>
        <w:rPr>
          <w:rFonts w:eastAsia="仿宋_GB2312" w:hint="eastAsia"/>
          <w:sz w:val="32"/>
          <w:szCs w:val="32"/>
        </w:rPr>
        <w:t>2024</w:t>
      </w:r>
      <w:r>
        <w:rPr>
          <w:rFonts w:eastAsia="仿宋_GB2312" w:hint="eastAsia"/>
          <w:sz w:val="32"/>
          <w:szCs w:val="32"/>
        </w:rPr>
        <w:t>年安全生产专项检查业务正常进行。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根据财政批复安全生产专项经费制定本年业务预算</w:t>
      </w:r>
      <w:r>
        <w:rPr>
          <w:rFonts w:eastAsia="仿宋_GB2312" w:hint="eastAsia"/>
          <w:sz w:val="32"/>
          <w:szCs w:val="32"/>
        </w:rPr>
        <w:t xml:space="preserve"> </w:t>
      </w:r>
      <w:r>
        <w:rPr>
          <w:rFonts w:eastAsia="仿宋_GB2312" w:hint="eastAsia"/>
          <w:sz w:val="32"/>
          <w:szCs w:val="32"/>
        </w:rPr>
        <w:t>，资金安排如下：专项检查、督查差旅费</w:t>
      </w:r>
      <w:r>
        <w:rPr>
          <w:rFonts w:eastAsia="仿宋_GB2312" w:hint="eastAsia"/>
          <w:sz w:val="32"/>
          <w:szCs w:val="32"/>
        </w:rPr>
        <w:t>7</w:t>
      </w:r>
      <w:r>
        <w:rPr>
          <w:rFonts w:eastAsia="仿宋_GB2312" w:hint="eastAsia"/>
          <w:sz w:val="32"/>
          <w:szCs w:val="32"/>
        </w:rPr>
        <w:t>万元；检查督查专家费</w:t>
      </w:r>
      <w:r>
        <w:rPr>
          <w:rFonts w:eastAsia="仿宋_GB2312" w:hint="eastAsia"/>
          <w:sz w:val="32"/>
          <w:szCs w:val="32"/>
        </w:rPr>
        <w:t>8</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年该项目预算</w:t>
      </w:r>
      <w:r>
        <w:rPr>
          <w:rFonts w:eastAsia="仿宋_GB2312" w:hint="eastAsia"/>
          <w:sz w:val="32"/>
          <w:szCs w:val="32"/>
        </w:rPr>
        <w:t>15</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（七）市场综合执法监管业务费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本项目主要用于开展全盟市场管理案件查处、督查工作及专项整治的督导工作，加强综合执法体系和执法队伍建设，依法维户和规范市场秩序，保障人民群众良好的生活环境。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根据市场局职能职责和《</w:t>
      </w:r>
      <w:r w:rsidR="0075660C">
        <w:rPr>
          <w:rFonts w:eastAsia="仿宋_GB2312" w:hint="eastAsia"/>
          <w:sz w:val="32"/>
          <w:szCs w:val="32"/>
        </w:rPr>
        <w:t>中华人民共和国</w:t>
      </w:r>
      <w:r>
        <w:rPr>
          <w:rFonts w:eastAsia="仿宋_GB2312" w:hint="eastAsia"/>
          <w:sz w:val="32"/>
          <w:szCs w:val="32"/>
        </w:rPr>
        <w:t>药品管理法》、《</w:t>
      </w:r>
      <w:r w:rsidR="0075660C">
        <w:rPr>
          <w:rFonts w:eastAsia="仿宋_GB2312" w:hint="eastAsia"/>
          <w:sz w:val="32"/>
          <w:szCs w:val="32"/>
        </w:rPr>
        <w:t>中华人民共和国</w:t>
      </w:r>
      <w:r>
        <w:rPr>
          <w:rFonts w:eastAsia="仿宋_GB2312" w:hint="eastAsia"/>
          <w:sz w:val="32"/>
          <w:szCs w:val="32"/>
        </w:rPr>
        <w:t>食品安全法》、《医疗器械管理条例》、《食品生产许可管理办法》等相关要求开展工作，申请此项目保障执法工作正常进行。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根据财政批复市场综合执法监管业务费制定本年业务预算，办公费主要用于执法办案、线索排查及督导产生的差旅费，培训费主要用</w:t>
      </w:r>
      <w:r>
        <w:rPr>
          <w:rFonts w:eastAsia="仿宋_GB2312" w:hint="eastAsia"/>
          <w:sz w:val="32"/>
          <w:szCs w:val="32"/>
        </w:rPr>
        <w:lastRenderedPageBreak/>
        <w:t>于各类执法业务培训、稽查工作调度会，印刷费及委托业务费主要用于企业档案管理印刷费及企业抽查审计费，宣传费主要用于普法宣传及“衣食住行”专项宣传费用。</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16</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（八）报废气瓶无害化处理业务费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本项目主要用于处理报废气瓶，严防报废气瓶重新流入市场，消除报废气瓶安全隐患</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按照《气瓶安全监察规程》第二十六条</w:t>
      </w:r>
      <w:r>
        <w:rPr>
          <w:rFonts w:eastAsia="仿宋_GB2312" w:hint="eastAsia"/>
          <w:sz w:val="32"/>
          <w:szCs w:val="32"/>
        </w:rPr>
        <w:t xml:space="preserve"> </w:t>
      </w:r>
      <w:r>
        <w:rPr>
          <w:rFonts w:eastAsia="仿宋_GB2312" w:hint="eastAsia"/>
          <w:sz w:val="32"/>
          <w:szCs w:val="32"/>
        </w:rPr>
        <w:t>气瓶充装单位应负责气瓶的送检工作，将不符合安全要求的气瓶送交地（市）级或地（市）级以上质监部门（现市场监管部门）指定的气瓶检验机构报废销毁的要求开展此项工作，故申请此项目保障报废气瓶无害化处理业务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根据财政批复报废气瓶无害化处理业务费制定本年业务预算</w:t>
      </w:r>
      <w:r>
        <w:rPr>
          <w:rFonts w:eastAsia="仿宋_GB2312" w:hint="eastAsia"/>
          <w:sz w:val="32"/>
          <w:szCs w:val="32"/>
        </w:rPr>
        <w:t xml:space="preserve"> </w:t>
      </w:r>
      <w:r>
        <w:rPr>
          <w:rFonts w:eastAsia="仿宋_GB2312" w:hint="eastAsia"/>
          <w:sz w:val="32"/>
          <w:szCs w:val="32"/>
        </w:rPr>
        <w:t>，委托业务费主要用于委托特检院处理应报废气瓶的业务费。</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8</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（九）民生计量器具免费检定及监督检查业务费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对锡市地区居民在用的血压计、体重秤、集贸市场在用计量器具以及社区、村级卫生室的在用医用计量器具实行免费检定，和开展民生计量进社区、进学校、进医院、进商场、进餐饮宣传活动经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根据市场局职能职责及《关于印发＜</w:t>
      </w:r>
      <w:r>
        <w:rPr>
          <w:rFonts w:eastAsia="仿宋_GB2312" w:hint="eastAsia"/>
          <w:sz w:val="32"/>
          <w:szCs w:val="32"/>
        </w:rPr>
        <w:t>2021</w:t>
      </w:r>
      <w:r>
        <w:rPr>
          <w:rFonts w:eastAsia="仿宋_GB2312" w:hint="eastAsia"/>
          <w:sz w:val="32"/>
          <w:szCs w:val="32"/>
        </w:rPr>
        <w:t>年质量强区工作要点＞的通知》（内市监质发字〔</w:t>
      </w:r>
      <w:r>
        <w:rPr>
          <w:rFonts w:eastAsia="仿宋_GB2312" w:hint="eastAsia"/>
          <w:sz w:val="32"/>
          <w:szCs w:val="32"/>
        </w:rPr>
        <w:t>2021</w:t>
      </w:r>
      <w:r>
        <w:rPr>
          <w:rFonts w:eastAsia="仿宋_GB2312" w:hint="eastAsia"/>
          <w:sz w:val="32"/>
          <w:szCs w:val="32"/>
        </w:rPr>
        <w:t>〕</w:t>
      </w:r>
      <w:r>
        <w:rPr>
          <w:rFonts w:eastAsia="仿宋_GB2312" w:hint="eastAsia"/>
          <w:sz w:val="32"/>
          <w:szCs w:val="32"/>
        </w:rPr>
        <w:t>294</w:t>
      </w:r>
      <w:r>
        <w:rPr>
          <w:rFonts w:eastAsia="仿宋_GB2312" w:hint="eastAsia"/>
          <w:sz w:val="32"/>
          <w:szCs w:val="32"/>
        </w:rPr>
        <w:t>号）、《自治区市场监管局关于印发＜</w:t>
      </w:r>
      <w:r>
        <w:rPr>
          <w:rFonts w:eastAsia="仿宋_GB2312" w:hint="eastAsia"/>
          <w:sz w:val="32"/>
          <w:szCs w:val="32"/>
        </w:rPr>
        <w:t>2021</w:t>
      </w:r>
      <w:r>
        <w:rPr>
          <w:rFonts w:eastAsia="仿宋_GB2312" w:hint="eastAsia"/>
          <w:sz w:val="32"/>
          <w:szCs w:val="32"/>
        </w:rPr>
        <w:t>年内蒙古自治区计量工作要点＞的通知》（内市监计量字〔</w:t>
      </w:r>
      <w:r>
        <w:rPr>
          <w:rFonts w:eastAsia="仿宋_GB2312" w:hint="eastAsia"/>
          <w:sz w:val="32"/>
          <w:szCs w:val="32"/>
        </w:rPr>
        <w:t>2021</w:t>
      </w:r>
      <w:r>
        <w:rPr>
          <w:rFonts w:eastAsia="仿宋_GB2312" w:hint="eastAsia"/>
          <w:sz w:val="32"/>
          <w:szCs w:val="32"/>
        </w:rPr>
        <w:t>〕</w:t>
      </w:r>
      <w:r>
        <w:rPr>
          <w:rFonts w:eastAsia="仿宋_GB2312" w:hint="eastAsia"/>
          <w:sz w:val="32"/>
          <w:szCs w:val="32"/>
        </w:rPr>
        <w:t>186</w:t>
      </w:r>
      <w:r>
        <w:rPr>
          <w:rFonts w:eastAsia="仿宋_GB2312" w:hint="eastAsia"/>
          <w:sz w:val="32"/>
          <w:szCs w:val="32"/>
        </w:rPr>
        <w:t>号）的要求开展此项工作，故申请此项目保障民生计量器具免费检定工作正常进行。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根据财政批民生计量器具免费检定业务费用制定本年业务预算</w:t>
      </w:r>
      <w:r>
        <w:rPr>
          <w:rFonts w:eastAsia="仿宋_GB2312" w:hint="eastAsia"/>
          <w:sz w:val="32"/>
          <w:szCs w:val="32"/>
        </w:rPr>
        <w:t xml:space="preserve"> </w:t>
      </w:r>
      <w:r>
        <w:rPr>
          <w:rFonts w:eastAsia="仿宋_GB2312" w:hint="eastAsia"/>
          <w:sz w:val="32"/>
          <w:szCs w:val="32"/>
        </w:rPr>
        <w:t>，委托业务费主要用于锡市地区居民在用的血压计、体重秤、集贸市场在用计量器具以及社区、村级卫生室的在用医用计量器具实行免费检定，宣传费主要用于开展民生计量进社区、进学校、进医院、进商场、进餐饮宣传活动。</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8</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（十）流通领域成品油、车用尿素等产品质量抽查及监督检查业务费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本项目主要用于完成</w:t>
      </w:r>
      <w:r>
        <w:rPr>
          <w:rFonts w:eastAsia="仿宋_GB2312" w:hint="eastAsia"/>
          <w:sz w:val="32"/>
          <w:szCs w:val="32"/>
        </w:rPr>
        <w:t>2024</w:t>
      </w:r>
      <w:r>
        <w:rPr>
          <w:rFonts w:eastAsia="仿宋_GB2312" w:hint="eastAsia"/>
          <w:sz w:val="32"/>
          <w:szCs w:val="32"/>
        </w:rPr>
        <w:t>年流通领域成品油、车用尿素、电线电缆抽检工作及产品质量抽检工作。</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根据市场局职能职责和《内蒙古自治区市场监管部门产品质量监督抽查管理办法（试行）》及自治区</w:t>
      </w:r>
      <w:r>
        <w:rPr>
          <w:rFonts w:eastAsia="仿宋_GB2312" w:hint="eastAsia"/>
          <w:sz w:val="32"/>
          <w:szCs w:val="32"/>
        </w:rPr>
        <w:t>26</w:t>
      </w:r>
      <w:r>
        <w:rPr>
          <w:rFonts w:eastAsia="仿宋_GB2312" w:hint="eastAsia"/>
          <w:sz w:val="32"/>
          <w:szCs w:val="32"/>
        </w:rPr>
        <w:t>个部门《关于开展放心消费创建活动营造安全放心环境的实施意见》中的要求开展流通领域成品油、车用尿素、电线电缆抽检工作和放心消费创建活动工作，故申请此项目保障流通领域成品油车用尿素抽检放心消费者创建活动调研工作的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根据财政批复流通领域成品油车用尿素抽检放心消费者创建活动调研业务费制定本年业务预算</w:t>
      </w:r>
      <w:r>
        <w:rPr>
          <w:rFonts w:eastAsia="仿宋_GB2312" w:hint="eastAsia"/>
          <w:sz w:val="32"/>
          <w:szCs w:val="32"/>
        </w:rPr>
        <w:t xml:space="preserve"> </w:t>
      </w:r>
      <w:r>
        <w:rPr>
          <w:rFonts w:eastAsia="仿宋_GB2312" w:hint="eastAsia"/>
          <w:sz w:val="32"/>
          <w:szCs w:val="32"/>
        </w:rPr>
        <w:t>，办公费主要用于完成全年流通领域成品油车用尿素抽检放心消费者创建活动调研工作所产生的差旅费；委托业务费主要用于支付承担质量检验的机构相应的检验检测费用</w:t>
      </w:r>
      <w:r>
        <w:rPr>
          <w:rFonts w:eastAsia="仿宋_GB2312" w:hint="eastAsia"/>
          <w:sz w:val="32"/>
          <w:szCs w:val="32"/>
        </w:rPr>
        <w:t xml:space="preserve"> </w:t>
      </w:r>
      <w:r>
        <w:rPr>
          <w:rFonts w:eastAsia="仿宋_GB2312" w:hint="eastAsia"/>
          <w:sz w:val="32"/>
          <w:szCs w:val="32"/>
        </w:rPr>
        <w:t>。</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37</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（十一）特种设备安全检察</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本项目主要用于督促特种设备的生产、经营、使用单位落实安全主体责任，加强特种设备安全监督检查工作并建立长效机制。</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根据市场局职能职责及《</w:t>
      </w:r>
      <w:r w:rsidR="0075660C">
        <w:rPr>
          <w:rFonts w:eastAsia="仿宋_GB2312" w:hint="eastAsia"/>
          <w:sz w:val="32"/>
          <w:szCs w:val="32"/>
        </w:rPr>
        <w:t>中华人民共和国</w:t>
      </w:r>
      <w:r>
        <w:rPr>
          <w:rFonts w:eastAsia="仿宋_GB2312" w:hint="eastAsia"/>
          <w:sz w:val="32"/>
          <w:szCs w:val="32"/>
        </w:rPr>
        <w:t>特种设备安全法》规定，负责特种设备安全监督管理的部门对本行政区域内特种设备安全实施监督管理。故申请此项目保障特种设备安全检察业务正常进行。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根据财政批复特种设备安全检察业务费制定本年业务预算</w:t>
      </w:r>
      <w:r>
        <w:rPr>
          <w:rFonts w:eastAsia="仿宋_GB2312" w:hint="eastAsia"/>
          <w:sz w:val="32"/>
          <w:szCs w:val="32"/>
        </w:rPr>
        <w:t xml:space="preserve"> </w:t>
      </w:r>
      <w:r>
        <w:rPr>
          <w:rFonts w:eastAsia="仿宋_GB2312" w:hint="eastAsia"/>
          <w:sz w:val="32"/>
          <w:szCs w:val="32"/>
        </w:rPr>
        <w:t>，办公费主要用于核算特种设备安全日常检查、专项检查经费，重点企业特种设备安全风险评估所产生的差旅费，特种设备安全事故应急演练和事故的调查处理及特种设备使用登记证、操作人员证、气瓶充装许可证所产生的印刷费等，劳务费主要用于聘请专家服务费，宣传费主要用于特种设备安全教育宣传工作。</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12.14</w:t>
      </w:r>
      <w:r>
        <w:rPr>
          <w:rFonts w:eastAsia="仿宋_GB2312" w:hint="eastAsia"/>
          <w:sz w:val="32"/>
          <w:szCs w:val="32"/>
        </w:rPr>
        <w:t>万元</w:t>
      </w:r>
      <w:r>
        <w:rPr>
          <w:rFonts w:eastAsia="仿宋_GB2312" w:hint="eastAsia"/>
          <w:sz w:val="32"/>
          <w:szCs w:val="32"/>
        </w:rPr>
        <w:t>,</w:t>
      </w:r>
      <w:r>
        <w:rPr>
          <w:rFonts w:eastAsia="仿宋_GB2312" w:hint="eastAsia"/>
          <w:sz w:val="32"/>
          <w:szCs w:val="32"/>
        </w:rPr>
        <w:t>包括本年拨款</w:t>
      </w:r>
      <w:r>
        <w:rPr>
          <w:rFonts w:eastAsia="仿宋_GB2312" w:hint="eastAsia"/>
          <w:sz w:val="32"/>
          <w:szCs w:val="32"/>
        </w:rPr>
        <w:t>12</w:t>
      </w:r>
      <w:r>
        <w:rPr>
          <w:rFonts w:eastAsia="仿宋_GB2312" w:hint="eastAsia"/>
          <w:sz w:val="32"/>
          <w:szCs w:val="32"/>
        </w:rPr>
        <w:t>万元，财政拨款结转</w:t>
      </w:r>
      <w:r>
        <w:rPr>
          <w:rFonts w:eastAsia="仿宋_GB2312" w:hint="eastAsia"/>
          <w:sz w:val="32"/>
          <w:szCs w:val="32"/>
        </w:rPr>
        <w:t>0.14</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（十二）电梯应急救援处置中心日常运行维护经费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本项目主要用于发放电梯应急处置中心人员工资、机器设备正常运转和二期工程网络畅通，确保电梯应急处置中心正常运行。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根据市场局职能职责和《中华人民共和国特种设备安全法》及《自治区市场监管局关于电梯按需维保和检验检测试点改革的通知》中要求电梯应急服务平台覆盖在用电梯总量的</w:t>
      </w:r>
      <w:r>
        <w:rPr>
          <w:rFonts w:eastAsia="仿宋_GB2312" w:hint="eastAsia"/>
          <w:sz w:val="32"/>
          <w:szCs w:val="32"/>
        </w:rPr>
        <w:t>70%</w:t>
      </w:r>
      <w:r>
        <w:rPr>
          <w:rFonts w:eastAsia="仿宋_GB2312" w:hint="eastAsia"/>
          <w:sz w:val="32"/>
          <w:szCs w:val="32"/>
        </w:rPr>
        <w:t>等要求，故申请此项目保障梯应急救援处置中心工作的正常进行。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根据财政批复电梯应急救援处置中心日常运行维护经费制定本年业务预算</w:t>
      </w:r>
      <w:r>
        <w:rPr>
          <w:rFonts w:eastAsia="仿宋_GB2312" w:hint="eastAsia"/>
          <w:sz w:val="32"/>
          <w:szCs w:val="32"/>
        </w:rPr>
        <w:t xml:space="preserve"> </w:t>
      </w:r>
      <w:r>
        <w:rPr>
          <w:rFonts w:eastAsia="仿宋_GB2312" w:hint="eastAsia"/>
          <w:sz w:val="32"/>
          <w:szCs w:val="32"/>
        </w:rPr>
        <w:t>，其他工资福利支出主要用于发放电梯应急处置中心人员工资，维修维护费主要用于保证机器设备正常运转，</w:t>
      </w:r>
      <w:r>
        <w:rPr>
          <w:rFonts w:eastAsia="仿宋_GB2312" w:hint="eastAsia"/>
          <w:sz w:val="32"/>
          <w:szCs w:val="32"/>
        </w:rPr>
        <w:t xml:space="preserve"> </w:t>
      </w:r>
      <w:r>
        <w:rPr>
          <w:rFonts w:eastAsia="仿宋_GB2312" w:hint="eastAsia"/>
          <w:sz w:val="32"/>
          <w:szCs w:val="32"/>
        </w:rPr>
        <w:t>租赁费主要用于保证二期工程网络畅通。</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40</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（十三）知识产权工作业务费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积极开展知识产权创造、运用、保护和管理工作，一是开展知识产权的对内培训、对外交流，参加国家、自治区组织的培训学习、经验交流以及知识产权年会等工作；二是开展商标培育及保护工作；三是开展地理标志商标及地理标志保护产品的培育及保护工作；四是开展专利培育及保护工作；五是建设知识产权发展和保护体系。</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根据市场局职能职责和《中共中央办公厅、国务院办公厅印发《关于强化知识产权保护的意见》；（中办发〔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56</w:t>
      </w:r>
      <w:r>
        <w:rPr>
          <w:rFonts w:eastAsia="仿宋_GB2312" w:hint="eastAsia"/>
          <w:sz w:val="32"/>
          <w:szCs w:val="32"/>
        </w:rPr>
        <w:t>号）及锡林郭勒盟行政公署关于印发《贯彻落实自治区进一步实施商标品牌战略意见的工作方案》的通知（锡署办字〔</w:t>
      </w:r>
      <w:r>
        <w:rPr>
          <w:rFonts w:eastAsia="仿宋_GB2312" w:hint="eastAsia"/>
          <w:sz w:val="32"/>
          <w:szCs w:val="32"/>
        </w:rPr>
        <w:t>2018</w:t>
      </w:r>
      <w:r>
        <w:rPr>
          <w:rFonts w:eastAsia="仿宋_GB2312" w:hint="eastAsia"/>
          <w:sz w:val="32"/>
          <w:szCs w:val="32"/>
        </w:rPr>
        <w:t>〕</w:t>
      </w:r>
      <w:r>
        <w:rPr>
          <w:rFonts w:eastAsia="仿宋_GB2312" w:hint="eastAsia"/>
          <w:sz w:val="32"/>
          <w:szCs w:val="32"/>
        </w:rPr>
        <w:t>42</w:t>
      </w:r>
      <w:r>
        <w:rPr>
          <w:rFonts w:eastAsia="仿宋_GB2312" w:hint="eastAsia"/>
          <w:sz w:val="32"/>
          <w:szCs w:val="32"/>
        </w:rPr>
        <w:t>号）中的相关要求开展工作，故申请此项目保障知识产权工作的正常进行。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根据财政批复知识产权工作业务费制定本年业务预算</w:t>
      </w:r>
      <w:r>
        <w:rPr>
          <w:rFonts w:eastAsia="仿宋_GB2312" w:hint="eastAsia"/>
          <w:sz w:val="32"/>
          <w:szCs w:val="32"/>
        </w:rPr>
        <w:t xml:space="preserve"> </w:t>
      </w:r>
      <w:r>
        <w:rPr>
          <w:rFonts w:eastAsia="仿宋_GB2312" w:hint="eastAsia"/>
          <w:sz w:val="32"/>
          <w:szCs w:val="32"/>
        </w:rPr>
        <w:t>，培训费及差旅费主要用于核算知识产权的对内培训、对外交流、参加国家、自治区组织的培训学习、经验交流以及知识产权年会等工作，印刷费和宣传费主要用于开展知识产权宣传工作。</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8</w:t>
      </w:r>
      <w:r>
        <w:rPr>
          <w:rFonts w:eastAsia="仿宋_GB2312" w:hint="eastAsia"/>
          <w:sz w:val="32"/>
          <w:szCs w:val="32"/>
        </w:rPr>
        <w:t>万元</w:t>
      </w:r>
      <w:r>
        <w:rPr>
          <w:rFonts w:eastAsia="仿宋_GB2312" w:hint="eastAsia"/>
          <w:sz w:val="32"/>
          <w:szCs w:val="32"/>
        </w:rPr>
        <w:t>8</w:t>
      </w:r>
      <w:r>
        <w:rPr>
          <w:rFonts w:eastAsia="仿宋_GB2312" w:hint="eastAsia"/>
          <w:sz w:val="32"/>
          <w:szCs w:val="32"/>
        </w:rPr>
        <w:t>。</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（十四）聘请第三方机构开展重点领域重点企业安全评估检查</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盟市场监管局为进一步增强风险意识，聚焦重点任务，严抓安全隐患排查整治，防范化解重大安全风险，不断提升安全监管能力和水平，按照《内蒙古自治区特种设备安全监管能力建设工作方案》要求，拟聘请专家组对全盟特种设备领域开展专业化排查，系统精准治理安全风险。</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根据市场局职能职责及《</w:t>
      </w:r>
      <w:r w:rsidR="0075660C">
        <w:rPr>
          <w:rFonts w:eastAsia="仿宋_GB2312" w:hint="eastAsia"/>
          <w:sz w:val="32"/>
          <w:szCs w:val="32"/>
        </w:rPr>
        <w:t>中华人民共和国</w:t>
      </w:r>
      <w:r>
        <w:rPr>
          <w:rFonts w:eastAsia="仿宋_GB2312" w:hint="eastAsia"/>
          <w:sz w:val="32"/>
          <w:szCs w:val="32"/>
        </w:rPr>
        <w:t>特种设备安全法》规定，负责特种设备安全监督管理的部门对本行政区域内特种设备安全实施监督管理。故申请此项目保障特种设备安全检察业务正常进行。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拟对使用</w:t>
      </w:r>
      <w:r>
        <w:rPr>
          <w:rFonts w:eastAsia="仿宋_GB2312" w:hint="eastAsia"/>
          <w:sz w:val="32"/>
          <w:szCs w:val="32"/>
        </w:rPr>
        <w:t>20</w:t>
      </w:r>
      <w:r>
        <w:rPr>
          <w:rFonts w:eastAsia="仿宋_GB2312" w:hint="eastAsia"/>
          <w:sz w:val="32"/>
          <w:szCs w:val="32"/>
        </w:rPr>
        <w:t>年以上起重机械</w:t>
      </w:r>
      <w:r>
        <w:rPr>
          <w:rFonts w:eastAsia="仿宋_GB2312" w:hint="eastAsia"/>
          <w:sz w:val="32"/>
          <w:szCs w:val="32"/>
        </w:rPr>
        <w:t>100</w:t>
      </w:r>
      <w:r>
        <w:rPr>
          <w:rFonts w:eastAsia="仿宋_GB2312" w:hint="eastAsia"/>
          <w:sz w:val="32"/>
          <w:szCs w:val="32"/>
        </w:rPr>
        <w:t>台、</w:t>
      </w:r>
      <w:r>
        <w:rPr>
          <w:rFonts w:eastAsia="仿宋_GB2312" w:hint="eastAsia"/>
          <w:sz w:val="32"/>
          <w:szCs w:val="32"/>
        </w:rPr>
        <w:t>15</w:t>
      </w:r>
      <w:r>
        <w:rPr>
          <w:rFonts w:eastAsia="仿宋_GB2312" w:hint="eastAsia"/>
          <w:sz w:val="32"/>
          <w:szCs w:val="32"/>
        </w:rPr>
        <w:t>年以上老旧电梯</w:t>
      </w:r>
      <w:r>
        <w:rPr>
          <w:rFonts w:eastAsia="仿宋_GB2312" w:hint="eastAsia"/>
          <w:sz w:val="32"/>
          <w:szCs w:val="32"/>
        </w:rPr>
        <w:t>40</w:t>
      </w:r>
      <w:r>
        <w:rPr>
          <w:rFonts w:eastAsia="仿宋_GB2312" w:hint="eastAsia"/>
          <w:sz w:val="32"/>
          <w:szCs w:val="32"/>
        </w:rPr>
        <w:t>台、</w:t>
      </w:r>
      <w:r>
        <w:rPr>
          <w:rFonts w:eastAsia="仿宋_GB2312" w:hint="eastAsia"/>
          <w:sz w:val="32"/>
          <w:szCs w:val="32"/>
        </w:rPr>
        <w:t>15</w:t>
      </w:r>
      <w:r>
        <w:rPr>
          <w:rFonts w:eastAsia="仿宋_GB2312" w:hint="eastAsia"/>
          <w:sz w:val="32"/>
          <w:szCs w:val="32"/>
        </w:rPr>
        <w:t>年以上老旧叉车</w:t>
      </w:r>
      <w:r>
        <w:rPr>
          <w:rFonts w:eastAsia="仿宋_GB2312" w:hint="eastAsia"/>
          <w:sz w:val="32"/>
          <w:szCs w:val="32"/>
        </w:rPr>
        <w:t>100</w:t>
      </w:r>
      <w:r>
        <w:rPr>
          <w:rFonts w:eastAsia="仿宋_GB2312" w:hint="eastAsia"/>
          <w:sz w:val="32"/>
          <w:szCs w:val="32"/>
        </w:rPr>
        <w:t>台进行安全评估。拟对大唐鼎旺在用压力容器</w:t>
      </w:r>
      <w:r>
        <w:rPr>
          <w:rFonts w:eastAsia="仿宋_GB2312" w:hint="eastAsia"/>
          <w:sz w:val="32"/>
          <w:szCs w:val="32"/>
        </w:rPr>
        <w:t>412</w:t>
      </w:r>
      <w:r>
        <w:rPr>
          <w:rFonts w:eastAsia="仿宋_GB2312" w:hint="eastAsia"/>
          <w:sz w:val="32"/>
          <w:szCs w:val="32"/>
        </w:rPr>
        <w:t>台（套）、压力管道</w:t>
      </w:r>
      <w:r>
        <w:rPr>
          <w:rFonts w:eastAsia="仿宋_GB2312" w:hint="eastAsia"/>
          <w:sz w:val="32"/>
          <w:szCs w:val="32"/>
        </w:rPr>
        <w:t>40</w:t>
      </w:r>
      <w:r>
        <w:rPr>
          <w:rFonts w:eastAsia="仿宋_GB2312" w:hint="eastAsia"/>
          <w:sz w:val="32"/>
          <w:szCs w:val="32"/>
        </w:rPr>
        <w:t>千米，多伦大唐煤化工</w:t>
      </w:r>
      <w:r>
        <w:rPr>
          <w:rFonts w:eastAsia="仿宋_GB2312" w:hint="eastAsia"/>
          <w:sz w:val="32"/>
          <w:szCs w:val="32"/>
        </w:rPr>
        <w:t>899</w:t>
      </w:r>
      <w:r>
        <w:rPr>
          <w:rFonts w:eastAsia="仿宋_GB2312" w:hint="eastAsia"/>
          <w:sz w:val="32"/>
          <w:szCs w:val="32"/>
        </w:rPr>
        <w:t>台（套）压力容器，压力管道</w:t>
      </w:r>
      <w:r>
        <w:rPr>
          <w:rFonts w:eastAsia="仿宋_GB2312" w:hint="eastAsia"/>
          <w:sz w:val="32"/>
          <w:szCs w:val="32"/>
        </w:rPr>
        <w:t>200</w:t>
      </w:r>
      <w:r>
        <w:rPr>
          <w:rFonts w:eastAsia="仿宋_GB2312" w:hint="eastAsia"/>
          <w:sz w:val="32"/>
          <w:szCs w:val="32"/>
        </w:rPr>
        <w:t>千米，按企业进行安全评估。另外对锡盟蒙医医院、中心医院在用的高压氧舱、大型氧气储存设备、医用电梯等特种设备进行安全评估。</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67</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（十五）药品安全监管及标准化建设经费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本项目主要用于药品安全专项整治行动，药化流通领域日常监督检查、专项检查、疫苗管、医疗机构药品质量监管等。</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根据《内蒙古自治区药品监督管理局关于印发盟市药品安全考核评议指标的通知》</w:t>
      </w:r>
      <w:r>
        <w:rPr>
          <w:rFonts w:eastAsia="仿宋_GB2312" w:hint="eastAsia"/>
          <w:sz w:val="32"/>
          <w:szCs w:val="32"/>
        </w:rPr>
        <w:t>(</w:t>
      </w:r>
      <w:r>
        <w:rPr>
          <w:rFonts w:eastAsia="仿宋_GB2312" w:hint="eastAsia"/>
          <w:sz w:val="32"/>
          <w:szCs w:val="32"/>
        </w:rPr>
        <w:t>内药监发</w:t>
      </w:r>
      <w:r>
        <w:rPr>
          <w:rFonts w:eastAsia="仿宋_GB2312" w:hint="eastAsia"/>
          <w:sz w:val="32"/>
          <w:szCs w:val="32"/>
        </w:rPr>
        <w:t>[2022]25</w:t>
      </w:r>
      <w:r>
        <w:rPr>
          <w:rFonts w:eastAsia="仿宋_GB2312" w:hint="eastAsia"/>
          <w:sz w:val="32"/>
          <w:szCs w:val="32"/>
        </w:rPr>
        <w:t>号</w:t>
      </w:r>
      <w:r>
        <w:rPr>
          <w:rFonts w:eastAsia="仿宋_GB2312" w:hint="eastAsia"/>
          <w:sz w:val="32"/>
          <w:szCs w:val="32"/>
        </w:rPr>
        <w:t>)</w:t>
      </w:r>
      <w:r>
        <w:rPr>
          <w:rFonts w:eastAsia="仿宋_GB2312" w:hint="eastAsia"/>
          <w:sz w:val="32"/>
          <w:szCs w:val="32"/>
        </w:rPr>
        <w:t>将药品安全工作经费列入本级政府经费预算的要求。</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药品安全专项整治行动，药化流通领域日常监督检查、专项检查、疫苗管、医疗机构药品质量监管等差旅费、培训及讲课费、宣传及印刷费、购买办公设备等</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年该项目预算</w:t>
      </w:r>
      <w:r>
        <w:rPr>
          <w:rFonts w:eastAsia="仿宋_GB2312" w:hint="eastAsia"/>
          <w:sz w:val="32"/>
          <w:szCs w:val="32"/>
        </w:rPr>
        <w:t>20.6</w:t>
      </w:r>
      <w:r>
        <w:rPr>
          <w:rFonts w:eastAsia="仿宋_GB2312" w:hint="eastAsia"/>
          <w:sz w:val="32"/>
          <w:szCs w:val="32"/>
        </w:rPr>
        <w:t>万元，包括本年拨款</w:t>
      </w:r>
      <w:r>
        <w:rPr>
          <w:rFonts w:eastAsia="仿宋_GB2312" w:hint="eastAsia"/>
          <w:sz w:val="32"/>
          <w:szCs w:val="32"/>
        </w:rPr>
        <w:t>20</w:t>
      </w:r>
      <w:r>
        <w:rPr>
          <w:rFonts w:eastAsia="仿宋_GB2312" w:hint="eastAsia"/>
          <w:sz w:val="32"/>
          <w:szCs w:val="32"/>
        </w:rPr>
        <w:t>万元，财政拨款结转</w:t>
      </w:r>
      <w:r>
        <w:rPr>
          <w:rFonts w:eastAsia="仿宋_GB2312" w:hint="eastAsia"/>
          <w:sz w:val="32"/>
          <w:szCs w:val="32"/>
        </w:rPr>
        <w:t>0.6</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（十六）蒙字标培育专项经费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 xml:space="preserve"> 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本项目主要用于加强“蒙”字标品牌打造，企业进行认证培育</w:t>
      </w:r>
      <w:r>
        <w:rPr>
          <w:rFonts w:eastAsia="仿宋_GB2312" w:hint="eastAsia"/>
          <w:sz w:val="32"/>
          <w:szCs w:val="32"/>
        </w:rPr>
        <w:t>,</w:t>
      </w:r>
      <w:r>
        <w:rPr>
          <w:rFonts w:eastAsia="仿宋_GB2312" w:hint="eastAsia"/>
          <w:sz w:val="32"/>
          <w:szCs w:val="32"/>
        </w:rPr>
        <w:t>助推我盟更多优势特色产业产品进入“蒙”认证行列。</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根据《自治区建设国家重要农畜产品生产基地重点任务清单》及开展《“蒙字标”认证通用要求农业生产加工领域》的相关政策，助推我盟蒙字标培育培育工作。</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根据财政批复蒙字标培育专项经费制定本年业务预算</w:t>
      </w:r>
      <w:r>
        <w:rPr>
          <w:rFonts w:eastAsia="仿宋_GB2312" w:hint="eastAsia"/>
          <w:sz w:val="32"/>
          <w:szCs w:val="32"/>
        </w:rPr>
        <w:t xml:space="preserve"> </w:t>
      </w:r>
      <w:r>
        <w:rPr>
          <w:rFonts w:eastAsia="仿宋_GB2312" w:hint="eastAsia"/>
          <w:sz w:val="32"/>
          <w:szCs w:val="32"/>
        </w:rPr>
        <w:t>，差旅费主要用于对企业进行认证培育，宣传费主要用于蒙字标宣传工作。</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5</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（十七）计量标准化项目和政府质量督查考核经费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一是锡盟地区法定计量机构和标准化项目考核、监督检查，对全盟计量器具进行监督检查，对全盟旗县行政管理人员、技术机构和相关企业进行培训。开展民生计量和标准化知识进社区、进学校、进医院、进商场、进餐饮宣传活动。二是完成自治区对我盟及我盟对</w:t>
      </w:r>
      <w:r>
        <w:rPr>
          <w:rFonts w:eastAsia="仿宋_GB2312" w:hint="eastAsia"/>
          <w:sz w:val="32"/>
          <w:szCs w:val="32"/>
        </w:rPr>
        <w:t>12</w:t>
      </w:r>
      <w:r>
        <w:rPr>
          <w:rFonts w:eastAsia="仿宋_GB2312" w:hint="eastAsia"/>
          <w:sz w:val="32"/>
          <w:szCs w:val="32"/>
        </w:rPr>
        <w:t>个旗县市区的政府质量考核督查工作。</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根据市场局职能职责和《关于印发＜</w:t>
      </w:r>
      <w:r>
        <w:rPr>
          <w:rFonts w:eastAsia="仿宋_GB2312" w:hint="eastAsia"/>
          <w:sz w:val="32"/>
          <w:szCs w:val="32"/>
        </w:rPr>
        <w:t>2021</w:t>
      </w:r>
      <w:r>
        <w:rPr>
          <w:rFonts w:eastAsia="仿宋_GB2312" w:hint="eastAsia"/>
          <w:sz w:val="32"/>
          <w:szCs w:val="32"/>
        </w:rPr>
        <w:t>年质量强区工作要点＞的通知》（内市监质发字〔</w:t>
      </w:r>
      <w:r>
        <w:rPr>
          <w:rFonts w:eastAsia="仿宋_GB2312" w:hint="eastAsia"/>
          <w:sz w:val="32"/>
          <w:szCs w:val="32"/>
        </w:rPr>
        <w:t>2021</w:t>
      </w:r>
      <w:r>
        <w:rPr>
          <w:rFonts w:eastAsia="仿宋_GB2312" w:hint="eastAsia"/>
          <w:sz w:val="32"/>
          <w:szCs w:val="32"/>
        </w:rPr>
        <w:t>〕</w:t>
      </w:r>
      <w:r>
        <w:rPr>
          <w:rFonts w:eastAsia="仿宋_GB2312" w:hint="eastAsia"/>
          <w:sz w:val="32"/>
          <w:szCs w:val="32"/>
        </w:rPr>
        <w:t>294</w:t>
      </w:r>
      <w:r>
        <w:rPr>
          <w:rFonts w:eastAsia="仿宋_GB2312" w:hint="eastAsia"/>
          <w:sz w:val="32"/>
          <w:szCs w:val="32"/>
        </w:rPr>
        <w:t>号）、《自治区市场监管局关于组织开展</w:t>
      </w:r>
      <w:r>
        <w:rPr>
          <w:rFonts w:eastAsia="仿宋_GB2312" w:hint="eastAsia"/>
          <w:sz w:val="32"/>
          <w:szCs w:val="32"/>
        </w:rPr>
        <w:t>2021</w:t>
      </w:r>
      <w:r>
        <w:rPr>
          <w:rFonts w:eastAsia="仿宋_GB2312" w:hint="eastAsia"/>
          <w:sz w:val="32"/>
          <w:szCs w:val="32"/>
        </w:rPr>
        <w:t>年”</w:t>
      </w:r>
      <w:r>
        <w:rPr>
          <w:rFonts w:eastAsia="仿宋_GB2312" w:hint="eastAsia"/>
          <w:sz w:val="32"/>
          <w:szCs w:val="32"/>
        </w:rPr>
        <w:t>5.20</w:t>
      </w:r>
      <w:r>
        <w:rPr>
          <w:rFonts w:eastAsia="仿宋_GB2312" w:hint="eastAsia"/>
          <w:sz w:val="32"/>
          <w:szCs w:val="32"/>
        </w:rPr>
        <w:t>世界计量日“及”计量守健康惠民生“活动的通知》、《内蒙古自治区人民政府办公厅关于印发盟市质量工作考核方案的通知》（内政办字</w:t>
      </w:r>
      <w:r>
        <w:rPr>
          <w:rFonts w:eastAsia="仿宋_GB2312" w:hint="eastAsia"/>
          <w:sz w:val="32"/>
          <w:szCs w:val="32"/>
        </w:rPr>
        <w:t>[2014]267</w:t>
      </w:r>
      <w:r>
        <w:rPr>
          <w:rFonts w:eastAsia="仿宋_GB2312" w:hint="eastAsia"/>
          <w:sz w:val="32"/>
          <w:szCs w:val="32"/>
        </w:rPr>
        <w:t>号）、《锡林郭勒盟行政公署办公厅关于印发﹤锡林郭勒盟旗县市质量工作考核方案﹥的通知》（锡署办发</w:t>
      </w:r>
      <w:r>
        <w:rPr>
          <w:rFonts w:eastAsia="仿宋_GB2312" w:hint="eastAsia"/>
          <w:sz w:val="32"/>
          <w:szCs w:val="32"/>
        </w:rPr>
        <w:t>[2015]55</w:t>
      </w:r>
      <w:r>
        <w:rPr>
          <w:rFonts w:eastAsia="仿宋_GB2312" w:hint="eastAsia"/>
          <w:sz w:val="32"/>
          <w:szCs w:val="32"/>
        </w:rPr>
        <w:t>号）等相关文件要求，申请此项目保障计量标准化项目和政府质量督查考核业务正常进行。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根据财政批复计量标准化项目和政府质量督查考核业务费制定本年业务预算</w:t>
      </w:r>
      <w:r>
        <w:rPr>
          <w:rFonts w:eastAsia="仿宋_GB2312" w:hint="eastAsia"/>
          <w:sz w:val="32"/>
          <w:szCs w:val="32"/>
        </w:rPr>
        <w:t xml:space="preserve"> </w:t>
      </w:r>
      <w:r>
        <w:rPr>
          <w:rFonts w:eastAsia="仿宋_GB2312" w:hint="eastAsia"/>
          <w:sz w:val="32"/>
          <w:szCs w:val="32"/>
        </w:rPr>
        <w:t>，差旅费主要用于对全盟计量机构检查、考核、督查和政府质量考核督查，宣传费、印刷费主要用于世界标准日主题宣传活动，培训费主要用于对全盟旗县行政管理人员、技术机构和相关企业进行培训。</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13.29</w:t>
      </w:r>
      <w:r>
        <w:rPr>
          <w:rFonts w:eastAsia="仿宋_GB2312" w:hint="eastAsia"/>
          <w:sz w:val="32"/>
          <w:szCs w:val="32"/>
        </w:rPr>
        <w:t>万元，包括本年拨款</w:t>
      </w:r>
      <w:r>
        <w:rPr>
          <w:rFonts w:eastAsia="仿宋_GB2312" w:hint="eastAsia"/>
          <w:sz w:val="32"/>
          <w:szCs w:val="32"/>
        </w:rPr>
        <w:t>8</w:t>
      </w:r>
      <w:r>
        <w:rPr>
          <w:rFonts w:eastAsia="仿宋_GB2312" w:hint="eastAsia"/>
          <w:sz w:val="32"/>
          <w:szCs w:val="32"/>
        </w:rPr>
        <w:t>万元，财政拨款结转</w:t>
      </w:r>
      <w:r>
        <w:rPr>
          <w:rFonts w:eastAsia="仿宋_GB2312" w:hint="eastAsia"/>
          <w:sz w:val="32"/>
          <w:szCs w:val="32"/>
        </w:rPr>
        <w:t>5.29</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（十八）食品安全监督抽查及风险监测及监督检查业务费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 xml:space="preserve"> 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本项目主要用于食品及药品抽检，达到主要农产品质量安全监测总体合格率稳定在</w:t>
      </w:r>
      <w:r>
        <w:rPr>
          <w:rFonts w:eastAsia="仿宋_GB2312" w:hint="eastAsia"/>
          <w:sz w:val="32"/>
          <w:szCs w:val="32"/>
        </w:rPr>
        <w:t>97%</w:t>
      </w:r>
      <w:r>
        <w:rPr>
          <w:rFonts w:eastAsia="仿宋_GB2312" w:hint="eastAsia"/>
          <w:sz w:val="32"/>
          <w:szCs w:val="32"/>
        </w:rPr>
        <w:t>以上，食品抽检合格率稳定在</w:t>
      </w:r>
      <w:r>
        <w:rPr>
          <w:rFonts w:eastAsia="仿宋_GB2312" w:hint="eastAsia"/>
          <w:sz w:val="32"/>
          <w:szCs w:val="32"/>
        </w:rPr>
        <w:t>98%</w:t>
      </w:r>
      <w:r>
        <w:rPr>
          <w:rFonts w:eastAsia="仿宋_GB2312" w:hint="eastAsia"/>
          <w:sz w:val="32"/>
          <w:szCs w:val="32"/>
        </w:rPr>
        <w:t>以上，区域性、系统性重大食品安全风险基本得到控制，公众对食品安全的安全感、满意度进一步提高，食品安全整体水平与全面建成小康社会目标基本相适应。</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市场局职能职责和《中华人民共和国食品安全法》等要求，市场监督管理部门应当对承检机构的抽样检验工作进行监督检查，发现存在检验能力缺陷或者有重大检验质量问题等情形的，应当按照有关规定及时处理。故申请此项目保障食品安全监督抽查和风险监测项目的正常进行。</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根据财政批复食品安全监督抽查和风险监测制定本年业务预算</w:t>
      </w:r>
      <w:r>
        <w:rPr>
          <w:rFonts w:eastAsia="仿宋_GB2312" w:hint="eastAsia"/>
          <w:sz w:val="32"/>
          <w:szCs w:val="32"/>
        </w:rPr>
        <w:t xml:space="preserve"> </w:t>
      </w:r>
      <w:r w:rsidR="0075660C">
        <w:rPr>
          <w:rFonts w:eastAsia="仿宋_GB2312" w:hint="eastAsia"/>
          <w:sz w:val="32"/>
          <w:szCs w:val="32"/>
        </w:rPr>
        <w:t>，办公费主要用于核算抽样产生的差旅费、邮电费</w:t>
      </w:r>
      <w:r>
        <w:rPr>
          <w:rFonts w:eastAsia="仿宋_GB2312" w:hint="eastAsia"/>
          <w:sz w:val="32"/>
          <w:szCs w:val="32"/>
        </w:rPr>
        <w:t>以及宣传产生的印刷费等，其他商品服务支出主要用于宣传及买样费。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24</w:t>
      </w:r>
      <w:r>
        <w:rPr>
          <w:rFonts w:eastAsia="仿宋_GB2312" w:hint="eastAsia"/>
          <w:sz w:val="32"/>
          <w:szCs w:val="32"/>
        </w:rPr>
        <w:t>万元。</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（十九）食品药品安全监管辅助人员经费</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lastRenderedPageBreak/>
        <w:t xml:space="preserve"> 1.</w:t>
      </w:r>
      <w:r>
        <w:rPr>
          <w:rFonts w:eastAsia="仿宋_GB2312" w:hint="eastAsia"/>
          <w:sz w:val="32"/>
          <w:szCs w:val="32"/>
        </w:rPr>
        <w:t>项目概述</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为优化药品监管人事管理，加强食品药品安全基层监管队伍建设，可通过劳务聘用、公益性岗位等方式吸纳一批食品药品专业辅助人员，协助做好食品药品行政执法服务工作，弥补现有执法人员不足。</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根据《内蒙古自治区人民政府办公厅关于全面加强药品监管能力建设工作措施的通知》（内政办发</w:t>
      </w:r>
      <w:r>
        <w:rPr>
          <w:rFonts w:eastAsia="仿宋_GB2312" w:hint="eastAsia"/>
          <w:sz w:val="32"/>
          <w:szCs w:val="32"/>
        </w:rPr>
        <w:t>[2022]26</w:t>
      </w:r>
      <w:r>
        <w:rPr>
          <w:rFonts w:eastAsia="仿宋_GB2312" w:hint="eastAsia"/>
          <w:sz w:val="32"/>
          <w:szCs w:val="32"/>
        </w:rPr>
        <w:t>号）、《内蒙古自治区食品药品安全委员会关于落实全区食品药品安全工作存在问题及解决措施清单的通知》（内食药安委〔</w:t>
      </w:r>
      <w:r>
        <w:rPr>
          <w:rFonts w:eastAsia="仿宋_GB2312" w:hint="eastAsia"/>
          <w:sz w:val="32"/>
          <w:szCs w:val="32"/>
        </w:rPr>
        <w:t>2021</w:t>
      </w:r>
      <w:r>
        <w:rPr>
          <w:rFonts w:eastAsia="仿宋_GB2312" w:hint="eastAsia"/>
          <w:sz w:val="32"/>
          <w:szCs w:val="32"/>
        </w:rPr>
        <w:t>〕</w:t>
      </w:r>
      <w:r>
        <w:rPr>
          <w:rFonts w:eastAsia="仿宋_GB2312" w:hint="eastAsia"/>
          <w:sz w:val="32"/>
          <w:szCs w:val="32"/>
        </w:rPr>
        <w:t>5</w:t>
      </w:r>
      <w:r>
        <w:rPr>
          <w:rFonts w:eastAsia="仿宋_GB2312" w:hint="eastAsia"/>
          <w:sz w:val="32"/>
          <w:szCs w:val="32"/>
        </w:rPr>
        <w:t>号）和锡林郭勒盟食品药品安全委员会关于印发《锡林郭勒盟食品药品安全工作存在的问题及解决措施清单整改落实方案》的通知（锡食药安委</w:t>
      </w:r>
      <w:r>
        <w:rPr>
          <w:rFonts w:eastAsia="仿宋_GB2312" w:hint="eastAsia"/>
          <w:sz w:val="32"/>
          <w:szCs w:val="32"/>
        </w:rPr>
        <w:t>[2021]3</w:t>
      </w:r>
      <w:r>
        <w:rPr>
          <w:rFonts w:eastAsia="仿宋_GB2312" w:hint="eastAsia"/>
          <w:sz w:val="32"/>
          <w:szCs w:val="32"/>
        </w:rPr>
        <w:t>号）等相关文件。</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我局聘用食品药品辅助人员</w:t>
      </w:r>
      <w:r>
        <w:rPr>
          <w:rFonts w:eastAsia="仿宋_GB2312" w:hint="eastAsia"/>
          <w:sz w:val="32"/>
          <w:szCs w:val="32"/>
        </w:rPr>
        <w:t>13</w:t>
      </w:r>
      <w:r>
        <w:rPr>
          <w:rFonts w:eastAsia="仿宋_GB2312" w:hint="eastAsia"/>
          <w:sz w:val="32"/>
          <w:szCs w:val="32"/>
        </w:rPr>
        <w:t>人，现申请食品药品安全监管辅助人员经费</w:t>
      </w:r>
      <w:r>
        <w:rPr>
          <w:rFonts w:eastAsia="仿宋_GB2312" w:hint="eastAsia"/>
          <w:sz w:val="32"/>
          <w:szCs w:val="32"/>
        </w:rPr>
        <w:t>19.33</w:t>
      </w:r>
      <w:r>
        <w:rPr>
          <w:rFonts w:eastAsia="仿宋_GB2312" w:hint="eastAsia"/>
          <w:sz w:val="32"/>
          <w:szCs w:val="32"/>
        </w:rPr>
        <w:t>万元，用于为食品药品安全监管辅助人员发放工资及缴纳各项社保。</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E1719B" w:rsidRDefault="008429D3">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19.33</w:t>
      </w:r>
      <w:r>
        <w:rPr>
          <w:rFonts w:eastAsia="仿宋_GB2312" w:hint="eastAsia"/>
          <w:sz w:val="32"/>
          <w:szCs w:val="32"/>
        </w:rPr>
        <w:t>元。</w:t>
      </w:r>
    </w:p>
    <w:p w:rsidR="00E1719B" w:rsidRDefault="00E1719B">
      <w:pPr>
        <w:spacing w:line="600" w:lineRule="atLeast"/>
        <w:ind w:firstLineChars="200" w:firstLine="640"/>
        <w:rPr>
          <w:rFonts w:eastAsia="仿宋_GB2312"/>
          <w:sz w:val="32"/>
          <w:szCs w:val="32"/>
        </w:rPr>
      </w:pPr>
    </w:p>
    <w:p w:rsidR="00E1719B" w:rsidRDefault="00E1719B">
      <w:pPr>
        <w:pStyle w:val="2"/>
        <w:spacing w:line="600" w:lineRule="atLeast"/>
        <w:ind w:leftChars="0" w:left="0" w:firstLine="0"/>
        <w:rPr>
          <w:rFonts w:hint="default"/>
        </w:rPr>
      </w:pPr>
    </w:p>
    <w:p w:rsidR="00E1719B" w:rsidRDefault="008429D3">
      <w:pPr>
        <w:numPr>
          <w:ilvl w:val="0"/>
          <w:numId w:val="3"/>
        </w:numPr>
        <w:pBdr>
          <w:bottom w:val="single" w:sz="4" w:space="30" w:color="FFFFFF"/>
        </w:pBdr>
        <w:snapToGrid w:val="0"/>
        <w:spacing w:line="600" w:lineRule="atLeast"/>
        <w:rPr>
          <w:rFonts w:eastAsia="黑体" w:cs="黑体"/>
          <w:sz w:val="32"/>
          <w:szCs w:val="36"/>
        </w:rPr>
      </w:pPr>
      <w:r>
        <w:rPr>
          <w:rFonts w:eastAsia="黑体" w:cs="黑体" w:hint="eastAsia"/>
          <w:sz w:val="32"/>
          <w:szCs w:val="36"/>
        </w:rPr>
        <w:t>一般公共预算机关运行经费支出预算情况说明</w:t>
      </w:r>
    </w:p>
    <w:p w:rsidR="00E1719B" w:rsidRDefault="008429D3">
      <w:pPr>
        <w:pBdr>
          <w:bottom w:val="single" w:sz="4" w:space="30" w:color="FFFFFF"/>
        </w:pBdr>
        <w:snapToGrid w:val="0"/>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年锡林郭勒盟市场监督管理局</w:t>
      </w:r>
      <w:r>
        <w:rPr>
          <w:rFonts w:eastAsia="仿宋_GB2312"/>
          <w:sz w:val="32"/>
          <w:szCs w:val="32"/>
        </w:rPr>
        <w:t>一般公共预算机关运行经费预算支出</w:t>
      </w:r>
      <w:r>
        <w:rPr>
          <w:rFonts w:eastAsia="仿宋_GB2312" w:hint="eastAsia"/>
          <w:sz w:val="32"/>
          <w:szCs w:val="32"/>
        </w:rPr>
        <w:t>369.81</w:t>
      </w:r>
      <w:r>
        <w:rPr>
          <w:rFonts w:eastAsia="仿宋_GB2312"/>
          <w:sz w:val="32"/>
          <w:szCs w:val="32"/>
        </w:rPr>
        <w:t>万元，主要包括以下支出：</w:t>
      </w:r>
      <w:r>
        <w:rPr>
          <w:rFonts w:eastAsia="仿宋_GB2312" w:hint="eastAsia"/>
          <w:sz w:val="32"/>
          <w:szCs w:val="32"/>
        </w:rPr>
        <w:t>奖金</w:t>
      </w:r>
      <w:r>
        <w:rPr>
          <w:rFonts w:eastAsia="仿宋_GB2312" w:hint="eastAsia"/>
          <w:sz w:val="32"/>
          <w:szCs w:val="32"/>
        </w:rPr>
        <w:t>3.6</w:t>
      </w:r>
      <w:r>
        <w:rPr>
          <w:rFonts w:eastAsia="仿宋_GB2312" w:hint="eastAsia"/>
          <w:sz w:val="32"/>
          <w:szCs w:val="32"/>
        </w:rPr>
        <w:t>万元、</w:t>
      </w:r>
      <w:r>
        <w:rPr>
          <w:rFonts w:eastAsia="仿宋_GB2312"/>
          <w:sz w:val="32"/>
          <w:szCs w:val="32"/>
        </w:rPr>
        <w:t>办公费</w:t>
      </w:r>
      <w:r>
        <w:rPr>
          <w:rFonts w:eastAsia="仿宋_GB2312" w:hint="eastAsia"/>
          <w:sz w:val="32"/>
          <w:szCs w:val="32"/>
        </w:rPr>
        <w:t>4.06</w:t>
      </w:r>
      <w:r>
        <w:rPr>
          <w:rFonts w:eastAsia="仿宋_GB2312" w:hint="eastAsia"/>
          <w:sz w:val="32"/>
          <w:szCs w:val="32"/>
        </w:rPr>
        <w:t>万元</w:t>
      </w:r>
      <w:r>
        <w:rPr>
          <w:rFonts w:eastAsia="仿宋_GB2312"/>
          <w:sz w:val="32"/>
          <w:szCs w:val="32"/>
        </w:rPr>
        <w:t>、印刷费</w:t>
      </w:r>
      <w:r>
        <w:rPr>
          <w:rFonts w:eastAsia="仿宋_GB2312" w:hint="eastAsia"/>
          <w:sz w:val="32"/>
          <w:szCs w:val="32"/>
        </w:rPr>
        <w:t>2</w:t>
      </w:r>
      <w:r>
        <w:rPr>
          <w:rFonts w:eastAsia="仿宋_GB2312" w:hint="eastAsia"/>
          <w:sz w:val="32"/>
          <w:szCs w:val="32"/>
        </w:rPr>
        <w:t>万元</w:t>
      </w:r>
      <w:r>
        <w:rPr>
          <w:rFonts w:eastAsia="仿宋_GB2312"/>
          <w:sz w:val="32"/>
          <w:szCs w:val="32"/>
        </w:rPr>
        <w:t>、咨询费</w:t>
      </w:r>
      <w:r>
        <w:rPr>
          <w:rFonts w:eastAsia="仿宋_GB2312" w:hint="eastAsia"/>
          <w:sz w:val="32"/>
          <w:szCs w:val="32"/>
        </w:rPr>
        <w:t>5</w:t>
      </w:r>
      <w:r>
        <w:rPr>
          <w:rFonts w:eastAsia="仿宋_GB2312" w:hint="eastAsia"/>
          <w:sz w:val="32"/>
          <w:szCs w:val="32"/>
        </w:rPr>
        <w:t>万元</w:t>
      </w:r>
      <w:r>
        <w:rPr>
          <w:rFonts w:eastAsia="仿宋_GB2312"/>
          <w:sz w:val="32"/>
          <w:szCs w:val="32"/>
        </w:rPr>
        <w:t>、水费</w:t>
      </w:r>
      <w:r>
        <w:rPr>
          <w:rFonts w:eastAsia="仿宋_GB2312" w:hint="eastAsia"/>
          <w:sz w:val="32"/>
          <w:szCs w:val="32"/>
        </w:rPr>
        <w:t>3</w:t>
      </w:r>
      <w:r>
        <w:rPr>
          <w:rFonts w:eastAsia="仿宋_GB2312" w:hint="eastAsia"/>
          <w:sz w:val="32"/>
          <w:szCs w:val="32"/>
        </w:rPr>
        <w:t>万元</w:t>
      </w:r>
      <w:r>
        <w:rPr>
          <w:rFonts w:eastAsia="仿宋_GB2312"/>
          <w:sz w:val="32"/>
          <w:szCs w:val="32"/>
        </w:rPr>
        <w:t>、电费</w:t>
      </w:r>
      <w:r>
        <w:rPr>
          <w:rFonts w:eastAsia="仿宋_GB2312" w:hint="eastAsia"/>
          <w:sz w:val="32"/>
          <w:szCs w:val="32"/>
        </w:rPr>
        <w:t>10</w:t>
      </w:r>
      <w:r>
        <w:rPr>
          <w:rFonts w:eastAsia="仿宋_GB2312" w:hint="eastAsia"/>
          <w:sz w:val="32"/>
          <w:szCs w:val="32"/>
        </w:rPr>
        <w:t>万元</w:t>
      </w:r>
      <w:r>
        <w:rPr>
          <w:rFonts w:eastAsia="仿宋_GB2312"/>
          <w:sz w:val="32"/>
          <w:szCs w:val="32"/>
        </w:rPr>
        <w:t>、邮电费</w:t>
      </w:r>
      <w:r>
        <w:rPr>
          <w:rFonts w:eastAsia="仿宋_GB2312" w:hint="eastAsia"/>
          <w:sz w:val="32"/>
          <w:szCs w:val="32"/>
        </w:rPr>
        <w:t>2</w:t>
      </w:r>
      <w:r>
        <w:rPr>
          <w:rFonts w:eastAsia="仿宋_GB2312" w:hint="eastAsia"/>
          <w:sz w:val="32"/>
          <w:szCs w:val="32"/>
        </w:rPr>
        <w:t>万元</w:t>
      </w:r>
      <w:r>
        <w:rPr>
          <w:rFonts w:eastAsia="仿宋_GB2312"/>
          <w:sz w:val="32"/>
          <w:szCs w:val="32"/>
        </w:rPr>
        <w:t>、取暖费</w:t>
      </w:r>
      <w:r>
        <w:rPr>
          <w:rFonts w:eastAsia="仿宋_GB2312" w:hint="eastAsia"/>
          <w:sz w:val="32"/>
          <w:szCs w:val="32"/>
        </w:rPr>
        <w:t>17.2</w:t>
      </w:r>
      <w:r>
        <w:rPr>
          <w:rFonts w:eastAsia="仿宋_GB2312" w:hint="eastAsia"/>
          <w:sz w:val="32"/>
          <w:szCs w:val="32"/>
        </w:rPr>
        <w:t>万元</w:t>
      </w:r>
      <w:r>
        <w:rPr>
          <w:rFonts w:eastAsia="仿宋_GB2312"/>
          <w:sz w:val="32"/>
          <w:szCs w:val="32"/>
        </w:rPr>
        <w:t>、物业管理费</w:t>
      </w:r>
      <w:r>
        <w:rPr>
          <w:rFonts w:eastAsia="仿宋_GB2312" w:hint="eastAsia"/>
          <w:sz w:val="32"/>
          <w:szCs w:val="32"/>
        </w:rPr>
        <w:t>60.56</w:t>
      </w:r>
      <w:r>
        <w:rPr>
          <w:rFonts w:eastAsia="仿宋_GB2312" w:hint="eastAsia"/>
          <w:sz w:val="32"/>
          <w:szCs w:val="32"/>
        </w:rPr>
        <w:t>万元</w:t>
      </w:r>
      <w:r>
        <w:rPr>
          <w:rFonts w:eastAsia="仿宋_GB2312"/>
          <w:sz w:val="32"/>
          <w:szCs w:val="32"/>
        </w:rPr>
        <w:t>、差旅费</w:t>
      </w:r>
      <w:r>
        <w:rPr>
          <w:rFonts w:eastAsia="仿宋_GB2312" w:hint="eastAsia"/>
          <w:sz w:val="32"/>
          <w:szCs w:val="32"/>
        </w:rPr>
        <w:t>10.76</w:t>
      </w:r>
      <w:r>
        <w:rPr>
          <w:rFonts w:eastAsia="仿宋_GB2312" w:hint="eastAsia"/>
          <w:sz w:val="32"/>
          <w:szCs w:val="32"/>
        </w:rPr>
        <w:t>万元</w:t>
      </w:r>
      <w:r>
        <w:rPr>
          <w:rFonts w:eastAsia="仿宋_GB2312"/>
          <w:sz w:val="32"/>
          <w:szCs w:val="32"/>
        </w:rPr>
        <w:t>、维修（护）费</w:t>
      </w:r>
      <w:r>
        <w:rPr>
          <w:rFonts w:eastAsia="仿宋_GB2312" w:hint="eastAsia"/>
          <w:sz w:val="32"/>
          <w:szCs w:val="32"/>
        </w:rPr>
        <w:t>2.95</w:t>
      </w:r>
      <w:r>
        <w:rPr>
          <w:rFonts w:eastAsia="仿宋_GB2312" w:hint="eastAsia"/>
          <w:sz w:val="32"/>
          <w:szCs w:val="32"/>
        </w:rPr>
        <w:t>万元</w:t>
      </w:r>
      <w:r>
        <w:rPr>
          <w:rFonts w:eastAsia="仿宋_GB2312"/>
          <w:sz w:val="32"/>
          <w:szCs w:val="32"/>
        </w:rPr>
        <w:t>、培训费</w:t>
      </w:r>
      <w:r>
        <w:rPr>
          <w:rFonts w:eastAsia="仿宋_GB2312" w:hint="eastAsia"/>
          <w:sz w:val="32"/>
          <w:szCs w:val="32"/>
        </w:rPr>
        <w:t>5.98</w:t>
      </w:r>
      <w:r>
        <w:rPr>
          <w:rFonts w:eastAsia="仿宋_GB2312" w:hint="eastAsia"/>
          <w:sz w:val="32"/>
          <w:szCs w:val="32"/>
        </w:rPr>
        <w:t>万元</w:t>
      </w:r>
      <w:r>
        <w:rPr>
          <w:rFonts w:eastAsia="仿宋_GB2312"/>
          <w:sz w:val="32"/>
          <w:szCs w:val="32"/>
        </w:rPr>
        <w:t>、公务接待费</w:t>
      </w:r>
      <w:r>
        <w:rPr>
          <w:rFonts w:eastAsia="仿宋_GB2312" w:hint="eastAsia"/>
          <w:sz w:val="32"/>
          <w:szCs w:val="32"/>
        </w:rPr>
        <w:t>3.49</w:t>
      </w:r>
      <w:r>
        <w:rPr>
          <w:rFonts w:eastAsia="仿宋_GB2312" w:hint="eastAsia"/>
          <w:sz w:val="32"/>
          <w:szCs w:val="32"/>
        </w:rPr>
        <w:t>万元</w:t>
      </w:r>
      <w:r>
        <w:rPr>
          <w:rFonts w:eastAsia="仿宋_GB2312"/>
          <w:sz w:val="32"/>
          <w:szCs w:val="32"/>
        </w:rPr>
        <w:t>、委托业务费</w:t>
      </w:r>
      <w:r>
        <w:rPr>
          <w:rFonts w:eastAsia="仿宋_GB2312" w:hint="eastAsia"/>
          <w:sz w:val="32"/>
          <w:szCs w:val="32"/>
        </w:rPr>
        <w:t>22</w:t>
      </w:r>
      <w:r>
        <w:rPr>
          <w:rFonts w:eastAsia="仿宋_GB2312" w:hint="eastAsia"/>
          <w:sz w:val="32"/>
          <w:szCs w:val="32"/>
        </w:rPr>
        <w:t>万元、</w:t>
      </w:r>
      <w:r>
        <w:rPr>
          <w:rFonts w:eastAsia="仿宋_GB2312"/>
          <w:sz w:val="32"/>
          <w:szCs w:val="32"/>
        </w:rPr>
        <w:t>工会经费</w:t>
      </w:r>
      <w:r>
        <w:rPr>
          <w:rFonts w:eastAsia="仿宋_GB2312" w:hint="eastAsia"/>
          <w:sz w:val="32"/>
          <w:szCs w:val="32"/>
        </w:rPr>
        <w:t>26.69</w:t>
      </w:r>
      <w:r>
        <w:rPr>
          <w:rFonts w:eastAsia="仿宋_GB2312" w:hint="eastAsia"/>
          <w:sz w:val="32"/>
          <w:szCs w:val="32"/>
        </w:rPr>
        <w:t>万元</w:t>
      </w:r>
      <w:r>
        <w:rPr>
          <w:rFonts w:eastAsia="仿宋_GB2312"/>
          <w:sz w:val="32"/>
          <w:szCs w:val="32"/>
        </w:rPr>
        <w:t>、福利费</w:t>
      </w:r>
      <w:r>
        <w:rPr>
          <w:rFonts w:eastAsia="仿宋_GB2312" w:hint="eastAsia"/>
          <w:sz w:val="32"/>
          <w:szCs w:val="32"/>
        </w:rPr>
        <w:t>26.16</w:t>
      </w:r>
      <w:r>
        <w:rPr>
          <w:rFonts w:eastAsia="仿宋_GB2312" w:hint="eastAsia"/>
          <w:sz w:val="32"/>
          <w:szCs w:val="32"/>
        </w:rPr>
        <w:t>万元</w:t>
      </w:r>
      <w:r>
        <w:rPr>
          <w:rFonts w:eastAsia="仿宋_GB2312"/>
          <w:sz w:val="32"/>
          <w:szCs w:val="32"/>
        </w:rPr>
        <w:t>、公务用车运行维护费</w:t>
      </w:r>
      <w:r>
        <w:rPr>
          <w:rFonts w:eastAsia="仿宋_GB2312" w:hint="eastAsia"/>
          <w:sz w:val="32"/>
          <w:szCs w:val="32"/>
        </w:rPr>
        <w:t>61</w:t>
      </w:r>
      <w:r>
        <w:rPr>
          <w:rFonts w:eastAsia="仿宋_GB2312" w:hint="eastAsia"/>
          <w:sz w:val="32"/>
          <w:szCs w:val="32"/>
        </w:rPr>
        <w:t>万元</w:t>
      </w:r>
      <w:r>
        <w:rPr>
          <w:rFonts w:eastAsia="仿宋_GB2312"/>
          <w:sz w:val="32"/>
          <w:szCs w:val="32"/>
        </w:rPr>
        <w:t>、其他交通费用</w:t>
      </w:r>
      <w:r>
        <w:rPr>
          <w:rFonts w:eastAsia="仿宋_GB2312" w:hint="eastAsia"/>
          <w:sz w:val="32"/>
          <w:szCs w:val="32"/>
        </w:rPr>
        <w:t>94.65</w:t>
      </w:r>
      <w:r>
        <w:rPr>
          <w:rFonts w:eastAsia="仿宋_GB2312" w:hint="eastAsia"/>
          <w:sz w:val="32"/>
          <w:szCs w:val="32"/>
        </w:rPr>
        <w:t>万元</w:t>
      </w:r>
      <w:r>
        <w:rPr>
          <w:rFonts w:eastAsia="仿宋_GB2312"/>
          <w:sz w:val="32"/>
          <w:szCs w:val="32"/>
        </w:rPr>
        <w:t>、其他商品和服务支出</w:t>
      </w:r>
      <w:r>
        <w:rPr>
          <w:rFonts w:eastAsia="仿宋_GB2312" w:hint="eastAsia"/>
          <w:sz w:val="32"/>
          <w:szCs w:val="32"/>
        </w:rPr>
        <w:t>7.5</w:t>
      </w:r>
      <w:r>
        <w:rPr>
          <w:rFonts w:eastAsia="仿宋_GB2312" w:hint="eastAsia"/>
          <w:sz w:val="32"/>
          <w:szCs w:val="32"/>
        </w:rPr>
        <w:t>万元</w:t>
      </w:r>
      <w:r>
        <w:rPr>
          <w:rFonts w:eastAsia="仿宋_GB2312"/>
          <w:sz w:val="32"/>
          <w:szCs w:val="32"/>
        </w:rPr>
        <w:t>、办公设备购置</w:t>
      </w:r>
      <w:r>
        <w:rPr>
          <w:rFonts w:eastAsia="仿宋_GB2312" w:hint="eastAsia"/>
          <w:sz w:val="32"/>
          <w:szCs w:val="32"/>
        </w:rPr>
        <w:t>1.21</w:t>
      </w:r>
      <w:r>
        <w:rPr>
          <w:rFonts w:eastAsia="仿宋_GB2312" w:hint="eastAsia"/>
          <w:sz w:val="32"/>
          <w:szCs w:val="32"/>
        </w:rPr>
        <w:t>万元</w:t>
      </w:r>
      <w:r>
        <w:rPr>
          <w:rFonts w:eastAsia="仿宋_GB2312"/>
          <w:sz w:val="32"/>
          <w:szCs w:val="32"/>
        </w:rPr>
        <w:t>。与上年相比增加</w:t>
      </w:r>
      <w:r>
        <w:rPr>
          <w:rFonts w:eastAsia="仿宋_GB2312" w:hint="eastAsia"/>
          <w:sz w:val="32"/>
          <w:szCs w:val="32"/>
        </w:rPr>
        <w:t>24.25</w:t>
      </w:r>
      <w:r>
        <w:rPr>
          <w:rFonts w:eastAsia="仿宋_GB2312"/>
          <w:sz w:val="32"/>
          <w:szCs w:val="32"/>
        </w:rPr>
        <w:t>万元，增长</w:t>
      </w:r>
      <w:r>
        <w:rPr>
          <w:rFonts w:eastAsia="仿宋_GB2312" w:hint="eastAsia"/>
          <w:sz w:val="32"/>
          <w:szCs w:val="32"/>
        </w:rPr>
        <w:t>7.02</w:t>
      </w:r>
      <w:r>
        <w:rPr>
          <w:rFonts w:eastAsia="仿宋_GB2312"/>
          <w:sz w:val="32"/>
          <w:szCs w:val="32"/>
        </w:rPr>
        <w:t>%</w:t>
      </w:r>
      <w:r>
        <w:rPr>
          <w:rFonts w:eastAsia="仿宋_GB2312"/>
          <w:sz w:val="32"/>
          <w:szCs w:val="32"/>
        </w:rPr>
        <w:t>。主要原因是：</w:t>
      </w:r>
      <w:r>
        <w:rPr>
          <w:rFonts w:eastAsia="仿宋_GB2312" w:hint="eastAsia"/>
          <w:sz w:val="32"/>
          <w:szCs w:val="32"/>
        </w:rPr>
        <w:t>2023</w:t>
      </w:r>
      <w:r>
        <w:rPr>
          <w:rFonts w:eastAsia="仿宋_GB2312" w:hint="eastAsia"/>
          <w:sz w:val="32"/>
          <w:szCs w:val="32"/>
        </w:rPr>
        <w:t>年年底，我单位追加公用经费杂项</w:t>
      </w:r>
      <w:r>
        <w:rPr>
          <w:rFonts w:eastAsia="仿宋_GB2312" w:hint="eastAsia"/>
          <w:sz w:val="32"/>
          <w:szCs w:val="32"/>
        </w:rPr>
        <w:t>40</w:t>
      </w:r>
      <w:r>
        <w:rPr>
          <w:rFonts w:eastAsia="仿宋_GB2312" w:hint="eastAsia"/>
          <w:sz w:val="32"/>
          <w:szCs w:val="32"/>
        </w:rPr>
        <w:t>万元，未支出结转至本年</w:t>
      </w:r>
      <w:r>
        <w:rPr>
          <w:rFonts w:eastAsia="仿宋_GB2312"/>
          <w:sz w:val="32"/>
          <w:szCs w:val="32"/>
        </w:rPr>
        <w:t>。</w:t>
      </w:r>
    </w:p>
    <w:p w:rsidR="00E1719B" w:rsidRDefault="008429D3">
      <w:pPr>
        <w:pBdr>
          <w:bottom w:val="single" w:sz="4" w:space="30" w:color="FFFFFF"/>
        </w:pBdr>
        <w:snapToGrid w:val="0"/>
        <w:spacing w:line="600" w:lineRule="atLeast"/>
        <w:rPr>
          <w:rFonts w:eastAsia="仿宋_GB2312" w:cstheme="minorBidi"/>
          <w:sz w:val="32"/>
          <w:szCs w:val="32"/>
          <w:highlight w:val="yellow"/>
        </w:rPr>
      </w:pPr>
      <w:r>
        <w:rPr>
          <w:rFonts w:eastAsia="黑体" w:cs="黑体" w:hint="eastAsia"/>
          <w:sz w:val="32"/>
          <w:szCs w:val="36"/>
        </w:rPr>
        <w:t>十二、政府采购支出预算情况说明</w:t>
      </w:r>
    </w:p>
    <w:p w:rsidR="00E1719B" w:rsidRDefault="008429D3">
      <w:pPr>
        <w:pBdr>
          <w:bottom w:val="single" w:sz="4" w:space="30" w:color="FFFFFF"/>
        </w:pBdr>
        <w:snapToGrid w:val="0"/>
        <w:spacing w:line="600" w:lineRule="atLeast"/>
        <w:ind w:firstLineChars="200" w:firstLine="640"/>
        <w:rPr>
          <w:rFonts w:ascii="仿宋" w:eastAsia="仿宋" w:hAnsi="仿宋" w:cs="仿宋"/>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hint="eastAsia"/>
          <w:sz w:val="32"/>
          <w:szCs w:val="32"/>
        </w:rPr>
        <w:t>89.52</w:t>
      </w:r>
      <w:r>
        <w:rPr>
          <w:rFonts w:eastAsia="仿宋_GB2312"/>
          <w:sz w:val="32"/>
          <w:szCs w:val="32"/>
        </w:rPr>
        <w:t>万元，其中：拟采购货物支出</w:t>
      </w:r>
      <w:r>
        <w:rPr>
          <w:rFonts w:eastAsia="仿宋_GB2312" w:hint="eastAsia"/>
          <w:sz w:val="32"/>
          <w:szCs w:val="32"/>
        </w:rPr>
        <w:t>2</w:t>
      </w:r>
      <w:r>
        <w:rPr>
          <w:rFonts w:eastAsia="仿宋_GB2312"/>
          <w:sz w:val="32"/>
          <w:szCs w:val="32"/>
        </w:rPr>
        <w:t>万元、拟采购工程支出</w:t>
      </w:r>
      <w:r>
        <w:rPr>
          <w:rFonts w:eastAsia="仿宋_GB2312" w:hint="eastAsia"/>
          <w:sz w:val="32"/>
          <w:szCs w:val="32"/>
        </w:rPr>
        <w:t>0</w:t>
      </w:r>
      <w:r>
        <w:rPr>
          <w:rFonts w:eastAsia="仿宋_GB2312"/>
          <w:sz w:val="32"/>
          <w:szCs w:val="32"/>
        </w:rPr>
        <w:t>万元、拟购买服务支出</w:t>
      </w:r>
      <w:r>
        <w:rPr>
          <w:rFonts w:eastAsia="仿宋_GB2312" w:hint="eastAsia"/>
          <w:sz w:val="32"/>
          <w:szCs w:val="32"/>
        </w:rPr>
        <w:t>89.32</w:t>
      </w:r>
      <w:r>
        <w:rPr>
          <w:rFonts w:eastAsia="仿宋_GB2312"/>
          <w:sz w:val="32"/>
          <w:szCs w:val="32"/>
        </w:rPr>
        <w:t>万元。</w:t>
      </w:r>
      <w:r>
        <w:rPr>
          <w:rFonts w:ascii="仿宋" w:eastAsia="仿宋" w:hAnsi="仿宋" w:cs="仿宋" w:hint="eastAsia"/>
          <w:sz w:val="32"/>
          <w:szCs w:val="32"/>
        </w:rPr>
        <w:t>涵盖“纸及纸板”、“印刷服务”、“物业管理服务”、“车辆加油服务”等采购大类，编制政府采购预算明细12项，采购金额来源为一般公共预算财政拨款。</w:t>
      </w:r>
    </w:p>
    <w:p w:rsidR="00E1719B" w:rsidRDefault="008429D3">
      <w:pPr>
        <w:pBdr>
          <w:bottom w:val="single" w:sz="4" w:space="30" w:color="FFFFFF"/>
        </w:pBdr>
        <w:snapToGrid w:val="0"/>
        <w:spacing w:line="600" w:lineRule="atLeast"/>
        <w:ind w:firstLineChars="100" w:firstLine="320"/>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E1719B" w:rsidRDefault="008429D3">
      <w:pPr>
        <w:pBdr>
          <w:bottom w:val="single" w:sz="4" w:space="30" w:color="FFFFFF"/>
        </w:pBdr>
        <w:snapToGrid w:val="0"/>
        <w:spacing w:line="600" w:lineRule="atLeast"/>
        <w:ind w:firstLineChars="200" w:firstLine="640"/>
        <w:rPr>
          <w:rFonts w:ascii="仿宋" w:eastAsia="仿宋" w:hAnsi="仿宋" w:cs="仿宋"/>
          <w:sz w:val="32"/>
          <w:szCs w:val="32"/>
        </w:rPr>
      </w:pPr>
      <w:r>
        <w:rPr>
          <w:rFonts w:eastAsia="仿宋_GB2312"/>
          <w:sz w:val="32"/>
          <w:szCs w:val="32"/>
        </w:rPr>
        <w:t>本单位共有车辆</w:t>
      </w:r>
      <w:r>
        <w:rPr>
          <w:rFonts w:eastAsia="仿宋_GB2312" w:hint="eastAsia"/>
          <w:sz w:val="32"/>
          <w:szCs w:val="32"/>
        </w:rPr>
        <w:t>11</w:t>
      </w:r>
      <w:r>
        <w:rPr>
          <w:rFonts w:eastAsia="仿宋_GB2312"/>
          <w:sz w:val="32"/>
          <w:szCs w:val="32"/>
        </w:rPr>
        <w:t>辆，其中，一般公务用车</w:t>
      </w:r>
      <w:r>
        <w:rPr>
          <w:rFonts w:eastAsia="仿宋_GB2312" w:hint="eastAsia"/>
          <w:sz w:val="32"/>
          <w:szCs w:val="32"/>
        </w:rPr>
        <w:t>4</w:t>
      </w:r>
      <w:r>
        <w:rPr>
          <w:rFonts w:eastAsia="仿宋_GB2312"/>
          <w:sz w:val="32"/>
          <w:szCs w:val="32"/>
        </w:rPr>
        <w:t>辆、执法执勤用车</w:t>
      </w:r>
      <w:r>
        <w:rPr>
          <w:rFonts w:eastAsia="仿宋_GB2312" w:hint="eastAsia"/>
          <w:sz w:val="32"/>
          <w:szCs w:val="32"/>
        </w:rPr>
        <w:t>7</w:t>
      </w:r>
      <w:r>
        <w:rPr>
          <w:rFonts w:eastAsia="仿宋_GB2312"/>
          <w:sz w:val="32"/>
          <w:szCs w:val="32"/>
        </w:rPr>
        <w:t>辆、特种专业技术用车</w:t>
      </w:r>
      <w:r>
        <w:rPr>
          <w:rFonts w:eastAsia="仿宋_GB2312" w:hint="eastAsia"/>
          <w:sz w:val="32"/>
          <w:szCs w:val="32"/>
        </w:rPr>
        <w:t>0</w:t>
      </w:r>
      <w:r>
        <w:rPr>
          <w:rFonts w:eastAsia="仿宋_GB2312"/>
          <w:sz w:val="32"/>
          <w:szCs w:val="32"/>
        </w:rPr>
        <w:t>辆、业务用车</w:t>
      </w:r>
      <w:r>
        <w:rPr>
          <w:rFonts w:eastAsia="仿宋_GB2312" w:hint="eastAsia"/>
          <w:sz w:val="32"/>
          <w:szCs w:val="32"/>
        </w:rPr>
        <w:t>0</w:t>
      </w:r>
      <w:r>
        <w:rPr>
          <w:rFonts w:eastAsia="仿宋_GB2312"/>
          <w:sz w:val="32"/>
          <w:szCs w:val="32"/>
        </w:rPr>
        <w:t>辆、其他用车</w:t>
      </w:r>
      <w:r>
        <w:rPr>
          <w:rFonts w:eastAsia="仿宋_GB2312" w:hint="eastAsia"/>
          <w:sz w:val="32"/>
          <w:szCs w:val="32"/>
        </w:rPr>
        <w:t>0</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rPr>
        <w:t>3</w:t>
      </w:r>
      <w:r>
        <w:rPr>
          <w:rFonts w:eastAsia="仿宋_GB2312"/>
          <w:sz w:val="32"/>
          <w:szCs w:val="32"/>
        </w:rPr>
        <w:t>台（套），</w:t>
      </w:r>
      <w:r>
        <w:rPr>
          <w:rFonts w:ascii="仿宋" w:eastAsia="仿宋" w:hAnsi="仿宋" w:cs="仿宋" w:hint="eastAsia"/>
          <w:sz w:val="32"/>
          <w:szCs w:val="32"/>
        </w:rPr>
        <w:t xml:space="preserve">主要是远红外线光谱、视频会议设备和网络设备。单位价值 100 万元以上专用设备0台 </w:t>
      </w:r>
      <w:r>
        <w:rPr>
          <w:rFonts w:ascii="仿宋" w:eastAsia="仿宋" w:hAnsi="仿宋" w:cs="仿宋" w:hint="eastAsia"/>
          <w:sz w:val="32"/>
          <w:szCs w:val="32"/>
        </w:rPr>
        <w:lastRenderedPageBreak/>
        <w:t>(套) ，单位价值 200 万元以上大型设备 1 台 (套) 为电梯远程监控应急救援设备。</w:t>
      </w:r>
    </w:p>
    <w:p w:rsidR="00E1719B" w:rsidRDefault="008429D3">
      <w:pPr>
        <w:pBdr>
          <w:bottom w:val="single" w:sz="4" w:space="30" w:color="FFFFFF"/>
        </w:pBdr>
        <w:snapToGrid w:val="0"/>
        <w:spacing w:line="600" w:lineRule="atLeas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十四、项目绩效目标情况说明</w:t>
      </w:r>
      <w:r>
        <w:rPr>
          <w:rFonts w:eastAsia="黑体" w:cs="黑体" w:hint="eastAsia"/>
          <w:b/>
          <w:bCs/>
          <w:sz w:val="32"/>
          <w:szCs w:val="36"/>
        </w:rPr>
        <w:t xml:space="preserve"> </w:t>
      </w:r>
    </w:p>
    <w:p w:rsidR="00E1719B" w:rsidRDefault="008429D3">
      <w:pPr>
        <w:pBdr>
          <w:bottom w:val="single" w:sz="4" w:space="30" w:color="FFFFFF"/>
        </w:pBdr>
        <w:snapToGrid w:val="0"/>
        <w:spacing w:line="600" w:lineRule="atLeast"/>
        <w:rPr>
          <w:rFonts w:ascii="方正小标宋简体" w:eastAsia="方正小标宋简体" w:hAnsi="方正小标宋简体" w:cs="方正小标宋简体"/>
          <w:sz w:val="36"/>
          <w:szCs w:val="36"/>
        </w:rPr>
      </w:pPr>
      <w:r>
        <w:rPr>
          <w:rFonts w:eastAsia="黑体" w:cs="黑体" w:hint="eastAsia"/>
          <w:b/>
          <w:bCs/>
          <w:sz w:val="32"/>
          <w:szCs w:val="36"/>
        </w:rPr>
        <w:t xml:space="preserve">  </w:t>
      </w:r>
      <w:r>
        <w:rPr>
          <w:rFonts w:eastAsia="仿宋_GB2312" w:cstheme="minorBidi" w:hint="eastAsia"/>
          <w:sz w:val="32"/>
          <w:szCs w:val="32"/>
        </w:rPr>
        <w:t xml:space="preserve"> 2024</w:t>
      </w:r>
      <w:r>
        <w:rPr>
          <w:rFonts w:eastAsia="仿宋_GB2312" w:cstheme="minorBidi" w:hint="eastAsia"/>
          <w:sz w:val="32"/>
          <w:szCs w:val="32"/>
        </w:rPr>
        <w:t>年，填报绩效目标的预算项目</w:t>
      </w:r>
      <w:r>
        <w:rPr>
          <w:rFonts w:eastAsia="仿宋_GB2312" w:cstheme="minorBidi" w:hint="eastAsia"/>
          <w:sz w:val="32"/>
          <w:szCs w:val="32"/>
        </w:rPr>
        <w:t>29</w:t>
      </w:r>
      <w:r>
        <w:rPr>
          <w:rFonts w:eastAsia="仿宋_GB2312" w:cstheme="minorBidi" w:hint="eastAsia"/>
          <w:sz w:val="32"/>
          <w:szCs w:val="32"/>
        </w:rPr>
        <w:t>个，公开绩效目标</w:t>
      </w:r>
      <w:r>
        <w:rPr>
          <w:rFonts w:eastAsia="仿宋_GB2312" w:cstheme="minorBidi" w:hint="eastAsia"/>
          <w:sz w:val="32"/>
          <w:szCs w:val="32"/>
        </w:rPr>
        <w:t>29</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rPr>
        <w:t>3136.68</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E1719B" w:rsidRDefault="008429D3">
      <w:pPr>
        <w:pStyle w:val="4"/>
        <w:tabs>
          <w:tab w:val="left" w:pos="4392"/>
        </w:tabs>
        <w:spacing w:before="0" w:after="0" w:line="600" w:lineRule="atLeas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   名词解释</w:t>
      </w:r>
    </w:p>
    <w:p w:rsidR="00E1719B" w:rsidRDefault="00E1719B">
      <w:pPr>
        <w:spacing w:line="600" w:lineRule="atLeast"/>
        <w:rPr>
          <w:sz w:val="36"/>
          <w:szCs w:val="36"/>
        </w:rPr>
      </w:pP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E1719B" w:rsidRDefault="008429D3">
      <w:pPr>
        <w:spacing w:line="600" w:lineRule="atLeast"/>
        <w:ind w:firstLineChars="200" w:firstLine="641"/>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lastRenderedPageBreak/>
        <w:t>七、对个人和家庭的补助：</w:t>
      </w:r>
      <w:r>
        <w:rPr>
          <w:rFonts w:eastAsia="仿宋_GB2312" w:cstheme="minorBidi" w:hint="eastAsia"/>
          <w:sz w:val="32"/>
          <w:szCs w:val="32"/>
        </w:rPr>
        <w:t>是指政府用于对个人和家庭的补助支出。</w:t>
      </w: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E1719B" w:rsidRDefault="008429D3">
      <w:pPr>
        <w:spacing w:line="600" w:lineRule="atLeast"/>
        <w:ind w:firstLineChars="200" w:firstLine="641"/>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1719B" w:rsidRDefault="00E1719B">
      <w:pPr>
        <w:spacing w:line="600" w:lineRule="atLeast"/>
        <w:jc w:val="center"/>
        <w:rPr>
          <w:rFonts w:ascii="方正小标宋简体" w:eastAsia="方正小标宋简体" w:hAnsi="方正小标宋简体" w:cs="方正小标宋简体"/>
          <w:sz w:val="36"/>
          <w:szCs w:val="36"/>
        </w:rPr>
      </w:pPr>
    </w:p>
    <w:p w:rsidR="00E1719B" w:rsidRDefault="008429D3">
      <w:pPr>
        <w:spacing w:line="600" w:lineRule="atLeas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E1719B" w:rsidRDefault="00E1719B">
      <w:pPr>
        <w:snapToGrid w:val="0"/>
        <w:spacing w:line="600" w:lineRule="atLeast"/>
        <w:rPr>
          <w:rFonts w:ascii="方正小标宋简体" w:eastAsia="方正小标宋简体" w:hAnsi="方正小标宋简体" w:cs="方正小标宋简体"/>
          <w:sz w:val="36"/>
          <w:szCs w:val="36"/>
        </w:rPr>
      </w:pPr>
    </w:p>
    <w:p w:rsidR="00E1719B" w:rsidRDefault="008429D3">
      <w:pPr>
        <w:snapToGrid w:val="0"/>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E1719B" w:rsidRDefault="008429D3">
      <w:pPr>
        <w:snapToGrid w:val="0"/>
        <w:spacing w:line="600" w:lineRule="atLeast"/>
        <w:ind w:firstLineChars="200" w:firstLine="640"/>
        <w:rPr>
          <w:rFonts w:ascii="仿宋_GB2312" w:eastAsia="仿宋_GB2312" w:hAnsi="仿宋_GB2312" w:cs="仿宋_GB2312"/>
          <w:sz w:val="32"/>
          <w:szCs w:val="32"/>
        </w:rPr>
        <w:sectPr w:rsidR="00E1719B">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 刘静              联系电话：18747949057</w:t>
      </w:r>
    </w:p>
    <w:p w:rsidR="00E1719B" w:rsidRDefault="008429D3">
      <w:pPr>
        <w:pStyle w:val="4"/>
        <w:numPr>
          <w:ilvl w:val="0"/>
          <w:numId w:val="4"/>
        </w:numPr>
        <w:tabs>
          <w:tab w:val="left" w:pos="4392"/>
        </w:tabs>
        <w:spacing w:before="0" w:after="0" w:line="600" w:lineRule="atLeas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 xml:space="preserve"> 2024年度锡林郭勒盟市场监督管理局预算表</w:t>
      </w:r>
    </w:p>
    <w:p w:rsidR="00E1719B" w:rsidRDefault="00E1719B">
      <w:pPr>
        <w:pStyle w:val="2"/>
        <w:spacing w:line="600" w:lineRule="atLeast"/>
        <w:ind w:leftChars="0" w:left="0" w:firstLine="0"/>
        <w:rPr>
          <w:rFonts w:hint="default"/>
        </w:rPr>
      </w:pP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sz w:val="32"/>
          <w:szCs w:val="32"/>
        </w:rPr>
        <w:t>一、收支总表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sz w:val="32"/>
          <w:szCs w:val="32"/>
        </w:rPr>
        <w:t>二、收入总表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w w:val="95"/>
          <w:sz w:val="32"/>
          <w:szCs w:val="32"/>
        </w:rPr>
        <w:t>三、支出总表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w w:val="95"/>
          <w:sz w:val="32"/>
          <w:szCs w:val="32"/>
        </w:rPr>
        <w:t>四、财政拨款收支总表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w w:val="95"/>
          <w:sz w:val="32"/>
          <w:szCs w:val="32"/>
        </w:rPr>
        <w:t>五、一般公共预算支出表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E1719B" w:rsidRDefault="008429D3">
      <w:pPr>
        <w:pStyle w:val="a5"/>
        <w:spacing w:after="0" w:line="600" w:lineRule="atLeas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sz w:val="32"/>
          <w:szCs w:val="32"/>
        </w:rPr>
        <w:t>九、国有资本经营预算支出表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sz w:val="32"/>
          <w:szCs w:val="32"/>
        </w:rPr>
        <w:t>十、项目支出表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sz w:val="32"/>
          <w:szCs w:val="32"/>
        </w:rPr>
        <w:t>十一、项目绩效目标表</w:t>
      </w:r>
    </w:p>
    <w:p w:rsidR="00E1719B" w:rsidRDefault="008429D3">
      <w:pPr>
        <w:pStyle w:val="a5"/>
        <w:spacing w:after="0" w:line="600" w:lineRule="atLeast"/>
        <w:rPr>
          <w:rFonts w:ascii="仿宋" w:eastAsia="仿宋" w:hAnsi="仿宋" w:cs="仿宋"/>
          <w:sz w:val="32"/>
          <w:szCs w:val="32"/>
        </w:rPr>
      </w:pPr>
      <w:r>
        <w:rPr>
          <w:rFonts w:ascii="仿宋" w:eastAsia="仿宋" w:hAnsi="仿宋" w:cs="仿宋" w:hint="eastAsia"/>
          <w:w w:val="95"/>
          <w:sz w:val="32"/>
          <w:szCs w:val="32"/>
        </w:rPr>
        <w:t>十二、政府采购预算表</w:t>
      </w:r>
    </w:p>
    <w:p w:rsidR="00E1719B" w:rsidRDefault="00E1719B">
      <w:pPr>
        <w:spacing w:line="600" w:lineRule="atLeast"/>
        <w:ind w:leftChars="200" w:left="420"/>
        <w:rPr>
          <w:rFonts w:eastAsia="仿宋_GB2312" w:cstheme="minorBidi"/>
          <w:sz w:val="30"/>
          <w:szCs w:val="30"/>
        </w:rPr>
      </w:pPr>
    </w:p>
    <w:p w:rsidR="00E1719B" w:rsidRDefault="00E1719B">
      <w:pPr>
        <w:pStyle w:val="2"/>
        <w:spacing w:line="600" w:lineRule="atLeast"/>
        <w:rPr>
          <w:rFonts w:eastAsia="仿宋_GB2312" w:cstheme="minorBidi" w:hint="default"/>
          <w:sz w:val="30"/>
          <w:szCs w:val="30"/>
        </w:rPr>
      </w:pPr>
    </w:p>
    <w:p w:rsidR="00E1719B" w:rsidRDefault="00E1719B">
      <w:pPr>
        <w:pStyle w:val="2"/>
        <w:spacing w:line="600" w:lineRule="atLeast"/>
        <w:rPr>
          <w:rFonts w:eastAsia="仿宋_GB2312" w:cstheme="minorBidi" w:hint="default"/>
          <w:sz w:val="30"/>
          <w:szCs w:val="30"/>
        </w:rPr>
      </w:pPr>
    </w:p>
    <w:p w:rsidR="00E1719B" w:rsidRDefault="00E1719B">
      <w:pPr>
        <w:pStyle w:val="2"/>
        <w:spacing w:line="600" w:lineRule="atLeast"/>
        <w:rPr>
          <w:rFonts w:eastAsia="仿宋_GB2312" w:cstheme="minorBidi" w:hint="default"/>
          <w:sz w:val="30"/>
          <w:szCs w:val="30"/>
        </w:rPr>
      </w:pPr>
    </w:p>
    <w:p w:rsidR="00E1719B" w:rsidRDefault="00E1719B">
      <w:pPr>
        <w:pStyle w:val="2"/>
        <w:spacing w:line="600" w:lineRule="atLeast"/>
        <w:rPr>
          <w:rFonts w:eastAsia="仿宋_GB2312" w:cstheme="minorBidi" w:hint="default"/>
          <w:sz w:val="30"/>
          <w:szCs w:val="30"/>
        </w:rPr>
      </w:pPr>
    </w:p>
    <w:p w:rsidR="00E1719B" w:rsidRDefault="00E1719B">
      <w:pPr>
        <w:pStyle w:val="2"/>
        <w:spacing w:line="600" w:lineRule="atLeast"/>
        <w:rPr>
          <w:rFonts w:eastAsia="仿宋_GB2312" w:cstheme="minorBidi" w:hint="default"/>
          <w:sz w:val="30"/>
          <w:szCs w:val="30"/>
        </w:rPr>
      </w:pPr>
    </w:p>
    <w:p w:rsidR="00E1719B" w:rsidRDefault="00E1719B">
      <w:pPr>
        <w:pStyle w:val="2"/>
        <w:spacing w:line="600" w:lineRule="atLeast"/>
        <w:ind w:leftChars="0" w:left="0" w:firstLine="0"/>
        <w:rPr>
          <w:rFonts w:eastAsia="仿宋_GB2312" w:cstheme="minorBidi" w:hint="default"/>
          <w:sz w:val="30"/>
          <w:szCs w:val="30"/>
        </w:rPr>
      </w:pPr>
    </w:p>
    <w:p w:rsidR="00E1719B" w:rsidRDefault="00E1719B">
      <w:pPr>
        <w:pStyle w:val="2"/>
        <w:rPr>
          <w:rFonts w:eastAsia="仿宋_GB2312" w:cstheme="minorBidi" w:hint="default"/>
          <w:sz w:val="30"/>
          <w:szCs w:val="30"/>
        </w:rPr>
      </w:pPr>
    </w:p>
    <w:tbl>
      <w:tblPr>
        <w:tblW w:w="5000" w:type="pct"/>
        <w:tblLook w:val="04A0" w:firstRow="1" w:lastRow="0" w:firstColumn="1" w:lastColumn="0" w:noHBand="0" w:noVBand="1"/>
      </w:tblPr>
      <w:tblGrid>
        <w:gridCol w:w="3207"/>
        <w:gridCol w:w="1636"/>
        <w:gridCol w:w="3528"/>
        <w:gridCol w:w="1595"/>
      </w:tblGrid>
      <w:tr w:rsidR="00E1719B">
        <w:trPr>
          <w:trHeight w:val="223"/>
        </w:trPr>
        <w:tc>
          <w:tcPr>
            <w:tcW w:w="5000" w:type="pct"/>
            <w:gridSpan w:val="4"/>
            <w:tcBorders>
              <w:top w:val="nil"/>
              <w:left w:val="nil"/>
              <w:bottom w:val="nil"/>
              <w:right w:val="nil"/>
            </w:tcBorders>
            <w:shd w:val="clear" w:color="auto" w:fill="auto"/>
            <w:vAlign w:val="center"/>
          </w:tcPr>
          <w:p w:rsidR="00E1719B" w:rsidRDefault="008429D3">
            <w:pPr>
              <w:widowControl/>
              <w:jc w:val="left"/>
              <w:textAlignment w:val="center"/>
              <w:rPr>
                <w:rFonts w:ascii="Hiragino Sans GB" w:eastAsia="Hiragino Sans GB" w:hAnsi="Hiragino Sans GB" w:cs="Hiragino Sans GB"/>
                <w:color w:val="000000"/>
                <w:sz w:val="22"/>
                <w:szCs w:val="22"/>
              </w:rPr>
            </w:pPr>
            <w:r>
              <w:rPr>
                <w:rFonts w:ascii="Hiragino Sans GB" w:eastAsia="Hiragino Sans GB" w:hAnsi="Hiragino Sans GB" w:cs="Hiragino Sans GB"/>
                <w:color w:val="000000"/>
                <w:kern w:val="0"/>
                <w:sz w:val="22"/>
                <w:szCs w:val="22"/>
                <w:lang w:bidi="ar"/>
              </w:rPr>
              <w:lastRenderedPageBreak/>
              <w:t>表1</w:t>
            </w:r>
          </w:p>
        </w:tc>
      </w:tr>
      <w:tr w:rsidR="00E1719B">
        <w:trPr>
          <w:trHeight w:val="335"/>
        </w:trPr>
        <w:tc>
          <w:tcPr>
            <w:tcW w:w="5000" w:type="pct"/>
            <w:gridSpan w:val="4"/>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收支总表</w:t>
            </w:r>
          </w:p>
        </w:tc>
      </w:tr>
      <w:tr w:rsidR="00E1719B">
        <w:trPr>
          <w:trHeight w:val="23"/>
        </w:trPr>
        <w:tc>
          <w:tcPr>
            <w:tcW w:w="1609"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77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799" w:type="pct"/>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E1719B">
        <w:trPr>
          <w:trHeight w:val="23"/>
        </w:trPr>
        <w:tc>
          <w:tcPr>
            <w:tcW w:w="2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w:t>
            </w:r>
          </w:p>
        </w:tc>
        <w:tc>
          <w:tcPr>
            <w:tcW w:w="25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    目</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预算数</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    目</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预算数</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3,136.68</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一、一般公共服务支出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2,768.09</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二、外交支出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三、国防支出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四、财政专户管理资金收入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四、公共安全支出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五、事业收入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五、教育支出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六、事业单位经营收入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六、科学技术支出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七、上级补助收入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七、文化体育旅游与传媒支出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八、附属单位上缴收入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八、社会保障和就业支出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425.74</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九、其他收入</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九、社会保险基金支出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十、卫生健康支出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152.55</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十一、节能环保支出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十二、城市社区支出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十三、农林水支出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十四、交通运输支出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十五、资源勘探工业信息等支出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十六、商业服务业等支出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十七、金融支出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十八、援助其他地区支出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十九、自然资源海洋气象等支出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二十、住房保障支出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180.73</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二十一、粮油物资储备支出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二十二、国有资本经营预算支出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二十三、灾害防治及应急管理支出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二十四、预备费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二十五、其他支出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二十六、转移性支付</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二十七、债务还本支出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二十八、债务付息支出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二十九、债务发行费用支出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三十、抗疫特别国债还本支出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三十一、与中央财政往来性支出</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本年收入合计</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3,136.68</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本年支出合计</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上年结转结余</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537.10</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年终结转结余</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4"/>
                <w:szCs w:val="24"/>
              </w:rPr>
            </w:pPr>
          </w:p>
        </w:tc>
      </w:tr>
      <w:tr w:rsidR="00E1719B">
        <w:trPr>
          <w:trHeight w:val="23"/>
        </w:trPr>
        <w:tc>
          <w:tcPr>
            <w:tcW w:w="1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    总    计</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    总    计</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r>
      <w:tr w:rsidR="00E1719B">
        <w:trPr>
          <w:trHeight w:val="2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0"/>
                <w:szCs w:val="10"/>
              </w:rPr>
            </w:pPr>
            <w:r>
              <w:rPr>
                <w:rFonts w:ascii="宋体" w:eastAsia="宋体" w:hAnsi="宋体" w:cs="宋体" w:hint="eastAsia"/>
                <w:color w:val="000000"/>
                <w:kern w:val="0"/>
                <w:sz w:val="10"/>
                <w:szCs w:val="10"/>
                <w:lang w:bidi="ar"/>
              </w:rPr>
              <w:t>备注：财政专户管理资金收入是指教育收费收入；事业收入不含教育收费收入，下同。</w:t>
            </w:r>
          </w:p>
        </w:tc>
      </w:tr>
      <w:tr w:rsidR="00E1719B">
        <w:trPr>
          <w:trHeight w:val="2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0"/>
                <w:szCs w:val="10"/>
              </w:rPr>
            </w:pPr>
            <w:r>
              <w:rPr>
                <w:rFonts w:ascii="宋体" w:eastAsia="宋体" w:hAnsi="宋体" w:cs="宋体"/>
                <w:color w:val="000000"/>
                <w:kern w:val="0"/>
                <w:sz w:val="10"/>
                <w:szCs w:val="10"/>
                <w:lang w:bidi="ar"/>
              </w:rPr>
              <w:t>口径说明：     一般公共预算拨款收入：取值口径为部门预算编制二上细化表，【资金性质】=111一般公共预算资金 ，114外国政府和国际组织赠款；【资金来源】=本级财力-11年初安排，12预估，上级补助-21年初安排，22预估     政府性基金预算拨款收入：取值口径为部门预算编制二上细化表，【资金性质】=121政府性基金预算资金 ，122专项债券；【资金来源】=本级财力-11年初安排，12预估，上级补助-21年初安排，22预估     国有资本经营预算拨款收入：取值口径为部门预算编制二上细化表，【资金性质】=13国有资本经营预算资金；【资金来源】=本级财力-11年初安排，12预估，上级补助-21年初安排，22预估     财政专户管理资金收入：取值口径为部门预算编制二上细化表，【资金性质】=2财政专户管理资金；【资金来源】=本级财力-13预计结转,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年结转结余：=【资金来源】为13预计结转, 14年终结转, 15预计结余, 16年终结余,23预计结转, 24年终结转, 25预计结余, 26年终结余数据之和     年终结转结余：=收入总计-本年支出合计</w:t>
            </w:r>
          </w:p>
        </w:tc>
      </w:tr>
    </w:tbl>
    <w:p w:rsidR="00E1719B" w:rsidRDefault="00E1719B">
      <w:pPr>
        <w:pStyle w:val="2"/>
        <w:ind w:leftChars="0" w:left="0" w:firstLine="0"/>
        <w:rPr>
          <w:rFonts w:eastAsia="仿宋_GB2312" w:cstheme="minorBidi" w:hint="default"/>
          <w:sz w:val="30"/>
          <w:szCs w:val="30"/>
        </w:rPr>
      </w:pPr>
    </w:p>
    <w:tbl>
      <w:tblPr>
        <w:tblW w:w="0" w:type="auto"/>
        <w:tblLook w:val="04A0" w:firstRow="1" w:lastRow="0" w:firstColumn="1" w:lastColumn="0" w:noHBand="0" w:noVBand="1"/>
      </w:tblPr>
      <w:tblGrid>
        <w:gridCol w:w="731"/>
        <w:gridCol w:w="560"/>
        <w:gridCol w:w="909"/>
        <w:gridCol w:w="909"/>
        <w:gridCol w:w="909"/>
        <w:gridCol w:w="373"/>
        <w:gridCol w:w="373"/>
        <w:gridCol w:w="373"/>
        <w:gridCol w:w="373"/>
        <w:gridCol w:w="373"/>
        <w:gridCol w:w="373"/>
        <w:gridCol w:w="373"/>
        <w:gridCol w:w="373"/>
        <w:gridCol w:w="736"/>
        <w:gridCol w:w="736"/>
        <w:gridCol w:w="373"/>
        <w:gridCol w:w="373"/>
        <w:gridCol w:w="373"/>
        <w:gridCol w:w="373"/>
      </w:tblGrid>
      <w:tr w:rsidR="00E1719B">
        <w:trPr>
          <w:trHeight w:val="455"/>
        </w:trPr>
        <w:tc>
          <w:tcPr>
            <w:tcW w:w="0" w:type="auto"/>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表2</w:t>
            </w: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90"/>
        </w:trPr>
        <w:tc>
          <w:tcPr>
            <w:tcW w:w="0" w:type="auto"/>
            <w:gridSpan w:val="19"/>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lastRenderedPageBreak/>
              <w:t>收入总表</w:t>
            </w:r>
          </w:p>
        </w:tc>
      </w:tr>
      <w:tr w:rsidR="00E1719B">
        <w:trPr>
          <w:trHeight w:val="455"/>
        </w:trPr>
        <w:tc>
          <w:tcPr>
            <w:tcW w:w="0" w:type="auto"/>
            <w:gridSpan w:val="10"/>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jc w:val="center"/>
              <w:rPr>
                <w:rFonts w:ascii="宋体" w:eastAsia="宋体" w:hAnsi="宋体" w:cs="宋体"/>
                <w:color w:val="000000"/>
                <w:sz w:val="22"/>
                <w:szCs w:val="22"/>
              </w:rPr>
            </w:pPr>
          </w:p>
        </w:tc>
        <w:tc>
          <w:tcPr>
            <w:tcW w:w="0" w:type="auto"/>
            <w:gridSpan w:val="2"/>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单位：万元</w:t>
            </w:r>
          </w:p>
        </w:tc>
      </w:tr>
      <w:tr w:rsidR="00E1719B">
        <w:trPr>
          <w:trHeight w:val="56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部门（单位）代码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部门（单位）名称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本年收入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上年结转结余</w:t>
            </w:r>
          </w:p>
        </w:tc>
      </w:tr>
      <w:tr w:rsidR="00E1719B">
        <w:trPr>
          <w:trHeight w:val="56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一般公共预算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政府性基金预算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国有资本经营预算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财政专户管理资金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事业单位经营收入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一般公共预算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政府性基金预算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国有资本经营预算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财政专户管理资金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单位资金</w:t>
            </w:r>
          </w:p>
        </w:tc>
      </w:tr>
      <w:tr w:rsidR="00E1719B">
        <w:trPr>
          <w:trHeight w:val="6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锡林郭勒盟市场监督管理局（部门）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3,673.78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6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3,673.78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68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3,673.78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1287"/>
        </w:trPr>
        <w:tc>
          <w:tcPr>
            <w:tcW w:w="0" w:type="auto"/>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0"/>
                <w:szCs w:val="10"/>
              </w:rPr>
            </w:pPr>
            <w:r>
              <w:rPr>
                <w:rFonts w:ascii="宋体" w:eastAsia="宋体" w:hAnsi="宋体" w:cs="宋体"/>
                <w:color w:val="000000"/>
                <w:kern w:val="0"/>
                <w:sz w:val="10"/>
                <w:szCs w:val="10"/>
                <w:lang w:bidi="ar"/>
              </w:rPr>
              <w:t>口径说明：     取值口径为部门预算编制二上细化表     本年收入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上年结转结余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财政专户管理资金：【资金性质】=2财政专户管理资金；【资金来源】≠本级财力—11年初安排，12预估，上级补助—21年初安排，22预估     单位资金：【资金性质】=31事业收入资金，32上级补助收入资金，33附属单位上缴收入资金，34事业单位经营收入资金，39其他收入资金；【资金来源】≠本级财力—11年初安排，12预估，上级补助—21年初安排，22预估</w:t>
            </w:r>
          </w:p>
        </w:tc>
      </w:tr>
    </w:tbl>
    <w:p w:rsidR="00E1719B" w:rsidRDefault="00E1719B">
      <w:pPr>
        <w:pStyle w:val="2"/>
        <w:ind w:leftChars="0" w:left="0" w:firstLine="0"/>
        <w:rPr>
          <w:rFonts w:eastAsia="仿宋_GB2312" w:cstheme="minorBidi" w:hint="default"/>
          <w:sz w:val="30"/>
          <w:szCs w:val="30"/>
        </w:rPr>
      </w:pPr>
    </w:p>
    <w:tbl>
      <w:tblPr>
        <w:tblW w:w="0" w:type="auto"/>
        <w:tblLayout w:type="fixed"/>
        <w:tblLook w:val="04A0" w:firstRow="1" w:lastRow="0" w:firstColumn="1" w:lastColumn="0" w:noHBand="0" w:noVBand="1"/>
      </w:tblPr>
      <w:tblGrid>
        <w:gridCol w:w="986"/>
        <w:gridCol w:w="2977"/>
        <w:gridCol w:w="1050"/>
        <w:gridCol w:w="1425"/>
        <w:gridCol w:w="1200"/>
        <w:gridCol w:w="855"/>
        <w:gridCol w:w="645"/>
        <w:gridCol w:w="828"/>
      </w:tblGrid>
      <w:tr w:rsidR="00E1719B">
        <w:trPr>
          <w:trHeight w:val="23"/>
        </w:trPr>
        <w:tc>
          <w:tcPr>
            <w:tcW w:w="986" w:type="dxa"/>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表3</w:t>
            </w:r>
          </w:p>
        </w:tc>
        <w:tc>
          <w:tcPr>
            <w:tcW w:w="2977"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050"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425"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200"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55"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645"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28" w:type="dxa"/>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23"/>
        </w:trPr>
        <w:tc>
          <w:tcPr>
            <w:tcW w:w="9966" w:type="dxa"/>
            <w:gridSpan w:val="8"/>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支出总表</w:t>
            </w:r>
          </w:p>
        </w:tc>
      </w:tr>
      <w:tr w:rsidR="00E1719B">
        <w:trPr>
          <w:trHeight w:val="23"/>
        </w:trPr>
        <w:tc>
          <w:tcPr>
            <w:tcW w:w="7638" w:type="dxa"/>
            <w:gridSpan w:val="5"/>
            <w:tcBorders>
              <w:top w:val="nil"/>
              <w:left w:val="nil"/>
              <w:bottom w:val="nil"/>
              <w:right w:val="nil"/>
            </w:tcBorders>
            <w:shd w:val="clear" w:color="auto" w:fill="auto"/>
            <w:vAlign w:val="center"/>
          </w:tcPr>
          <w:p w:rsidR="00E1719B" w:rsidRDefault="00E1719B">
            <w:pPr>
              <w:rPr>
                <w:rFonts w:ascii="Hiragino Sans GB" w:eastAsia="Hiragino Sans GB" w:hAnsi="Hiragino Sans GB" w:cs="Hiragino Sans GB"/>
                <w:color w:val="000000"/>
                <w:sz w:val="22"/>
                <w:szCs w:val="22"/>
              </w:rPr>
            </w:pPr>
          </w:p>
        </w:tc>
        <w:tc>
          <w:tcPr>
            <w:tcW w:w="855" w:type="dxa"/>
            <w:tcBorders>
              <w:top w:val="nil"/>
              <w:left w:val="nil"/>
              <w:bottom w:val="nil"/>
              <w:right w:val="nil"/>
            </w:tcBorders>
            <w:shd w:val="clear" w:color="auto" w:fill="auto"/>
            <w:vAlign w:val="center"/>
          </w:tcPr>
          <w:p w:rsidR="00E1719B" w:rsidRDefault="00E1719B">
            <w:pPr>
              <w:jc w:val="right"/>
              <w:rPr>
                <w:rFonts w:ascii="Hiragino Sans GB" w:eastAsia="Hiragino Sans GB" w:hAnsi="Hiragino Sans GB" w:cs="Hiragino Sans GB"/>
                <w:color w:val="000000"/>
                <w:sz w:val="22"/>
                <w:szCs w:val="22"/>
              </w:rPr>
            </w:pPr>
          </w:p>
        </w:tc>
        <w:tc>
          <w:tcPr>
            <w:tcW w:w="1473" w:type="dxa"/>
            <w:gridSpan w:val="2"/>
            <w:tcBorders>
              <w:top w:val="nil"/>
              <w:left w:val="nil"/>
              <w:bottom w:val="nil"/>
              <w:right w:val="nil"/>
            </w:tcBorders>
            <w:shd w:val="clear" w:color="auto" w:fill="auto"/>
            <w:vAlign w:val="center"/>
          </w:tcPr>
          <w:p w:rsidR="00E1719B" w:rsidRDefault="008429D3">
            <w:pPr>
              <w:widowControl/>
              <w:jc w:val="center"/>
              <w:textAlignment w:val="center"/>
              <w:rPr>
                <w:rFonts w:ascii="Hiragino Sans GB" w:eastAsia="Hiragino Sans GB" w:hAnsi="Hiragino Sans GB" w:cs="Hiragino Sans GB"/>
                <w:color w:val="000000"/>
                <w:sz w:val="22"/>
                <w:szCs w:val="22"/>
              </w:rPr>
            </w:pPr>
            <w:r>
              <w:rPr>
                <w:rFonts w:ascii="Hiragino Sans GB" w:eastAsia="Hiragino Sans GB" w:hAnsi="Hiragino Sans GB" w:cs="Hiragino Sans GB"/>
                <w:color w:val="000000"/>
                <w:kern w:val="0"/>
                <w:sz w:val="22"/>
                <w:szCs w:val="22"/>
                <w:lang w:bidi="ar"/>
              </w:rPr>
              <w:t>单位：万元</w:t>
            </w: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科目编码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科目名称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基本支出</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事业单位经营支出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上缴上级支出</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对附属单位补助支出</w:t>
            </w: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一般公共服务支出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2,768.09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1,788.36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979.73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知识产权事务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2011499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其他知识产权事务支出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市场监督管理事务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2,760.09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1,788.36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971.73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行政运行</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1,788.36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市场秩序执法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信息化建设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质量基础</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63.29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63.29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药品事务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20.60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20.60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质量安全监管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94.14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94.14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食品安全监管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530.37</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530.37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2013899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其他市场监督管理事务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239.33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239.33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社会保障和就业支出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425.74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425.74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行政事业单位养老支出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425.74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425.74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行政单位离退休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130.86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130.86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169.19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169.19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机关事业单位职业年金缴费支出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125.69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125.69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卫生健康支出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152.55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152.55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行政事业单位医疗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152.55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152.55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行政单位医疗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142.73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142.73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9.82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农林水支出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146.66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农业农村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146.66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农业生产发展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住房保障支出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180.73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180.73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住房改革支出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180.73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180.73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162.65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162.65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购房补贴</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18.08</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18.08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3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2,547.38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1,126.40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r>
      <w:tr w:rsidR="00E1719B">
        <w:trPr>
          <w:trHeight w:val="23"/>
        </w:trPr>
        <w:tc>
          <w:tcPr>
            <w:tcW w:w="99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10"/>
                <w:szCs w:val="10"/>
                <w:lang w:bidi="ar"/>
              </w:rPr>
              <w:t>口径说明：     取值口径为部门预算编制二上细化表。     基本支出：【项目类别】包含为11工资福利支出，12对个人和家庭补助支出，21公用经费。     项目支出：【项目类别】不包含11工资福利支出，12对个人和家庭补助支出，21公用经费，【资金性质】不等于34事业单位经营收入资金。     事业单位经营支出：取值口径为部门预算编制二上细化【收入预算表】。     上缴上级支出：取值口径为部门预算编制二上细化【收入预算表】。     对附属单位补助支出：取值口径为部门预算编制二上细化【收入预算表】。</w:t>
            </w:r>
          </w:p>
        </w:tc>
      </w:tr>
    </w:tbl>
    <w:p w:rsidR="00E1719B" w:rsidRDefault="00E1719B">
      <w:pPr>
        <w:pStyle w:val="2"/>
        <w:ind w:leftChars="0" w:left="0" w:firstLine="0"/>
        <w:rPr>
          <w:rFonts w:eastAsia="仿宋_GB2312" w:cstheme="minorBidi" w:hint="default"/>
          <w:sz w:val="30"/>
          <w:szCs w:val="30"/>
        </w:rPr>
      </w:pPr>
    </w:p>
    <w:tbl>
      <w:tblPr>
        <w:tblW w:w="0" w:type="auto"/>
        <w:tblLook w:val="04A0" w:firstRow="1" w:lastRow="0" w:firstColumn="1" w:lastColumn="0" w:noHBand="0" w:noVBand="1"/>
      </w:tblPr>
      <w:tblGrid>
        <w:gridCol w:w="2941"/>
        <w:gridCol w:w="1745"/>
        <w:gridCol w:w="3436"/>
        <w:gridCol w:w="1844"/>
      </w:tblGrid>
      <w:tr w:rsidR="00E1719B">
        <w:trPr>
          <w:trHeight w:val="23"/>
        </w:trPr>
        <w:tc>
          <w:tcPr>
            <w:tcW w:w="0" w:type="auto"/>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表4</w:t>
            </w: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23"/>
        </w:trPr>
        <w:tc>
          <w:tcPr>
            <w:tcW w:w="0" w:type="auto"/>
            <w:gridSpan w:val="4"/>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财政拨款收支总表</w:t>
            </w:r>
          </w:p>
        </w:tc>
      </w:tr>
      <w:tr w:rsidR="00E1719B">
        <w:trPr>
          <w:trHeight w:val="23"/>
        </w:trPr>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E1719B">
        <w:trPr>
          <w:trHeight w:val="2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预算数</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一、本年收入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一、本年支出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3,136.68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2,768.09</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二、上年结转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（七）文化体育旅游与传媒支出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425.74</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（九）社会保险基金支出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152.55</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（十一）节能环保支出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（十二）城市社区支出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（十三）农林水支出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（十四）交通运输支出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（十六）商业服务业等支出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（十七）金融支出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（十八）援助其他地区支出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180.73</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（二十四）预备费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（二十五）其他支出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（二十六）转移性支付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（二十七）债务还本支出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（二十八）债务付息支出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（三十）抗疫特别国债还本支出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（三十一）与中央财政往来性支出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二、年终结转结余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r>
      <w:tr w:rsidR="00E1719B">
        <w:trPr>
          <w:trHeight w:val="55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10"/>
                <w:szCs w:val="10"/>
                <w:lang w:bidi="ar"/>
              </w:rPr>
              <w:t>口径说明：     一、本年收入：取值口径与[1收支总表]收入取值一致     二、上年结转：     （一）一般公共预算拨款【资金性质】=111一般公共预算资金 ，114外国政府和国际组织赠款；     （二）政府性基金预算拨款【资金性质】=121政府性基金预算资金 ，122专项债券；     （三）国有资本经营预算拨款【资金性质】=13国有资本经营预算资金；     【资金来源】=本级财力-13预计结转, 14年终结转, 15预计结余, 16年终结余, 上级补助-23预计结转, 24年终结转, 25预计结余, 26年终结余     三、本年支出：根据支出功能分类进行对应取数</w:t>
            </w:r>
          </w:p>
        </w:tc>
      </w:tr>
    </w:tbl>
    <w:p w:rsidR="00E1719B" w:rsidRDefault="00E1719B">
      <w:pPr>
        <w:pStyle w:val="2"/>
        <w:ind w:leftChars="0" w:left="0" w:firstLine="0"/>
        <w:rPr>
          <w:rFonts w:eastAsia="仿宋_GB2312" w:cstheme="minorBidi" w:hint="default"/>
          <w:sz w:val="30"/>
          <w:szCs w:val="30"/>
        </w:rPr>
      </w:pPr>
    </w:p>
    <w:tbl>
      <w:tblPr>
        <w:tblW w:w="0" w:type="auto"/>
        <w:tblLook w:val="04A0" w:firstRow="1" w:lastRow="0" w:firstColumn="1" w:lastColumn="0" w:noHBand="0" w:noVBand="1"/>
      </w:tblPr>
      <w:tblGrid>
        <w:gridCol w:w="986"/>
        <w:gridCol w:w="2023"/>
        <w:gridCol w:w="1737"/>
        <w:gridCol w:w="1910"/>
        <w:gridCol w:w="1184"/>
        <w:gridCol w:w="942"/>
        <w:gridCol w:w="1184"/>
      </w:tblGrid>
      <w:tr w:rsidR="00E1719B">
        <w:trPr>
          <w:trHeight w:val="23"/>
        </w:trPr>
        <w:tc>
          <w:tcPr>
            <w:tcW w:w="0" w:type="auto"/>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表5</w:t>
            </w:r>
          </w:p>
        </w:tc>
        <w:tc>
          <w:tcPr>
            <w:tcW w:w="2258"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601"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810"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335"/>
        </w:trPr>
        <w:tc>
          <w:tcPr>
            <w:tcW w:w="0" w:type="auto"/>
            <w:gridSpan w:val="7"/>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lastRenderedPageBreak/>
              <w:t>一般公共预算支出表</w:t>
            </w:r>
          </w:p>
        </w:tc>
      </w:tr>
      <w:tr w:rsidR="00E1719B">
        <w:trPr>
          <w:trHeight w:val="23"/>
        </w:trPr>
        <w:tc>
          <w:tcPr>
            <w:tcW w:w="0" w:type="auto"/>
            <w:gridSpan w:val="5"/>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0" w:type="auto"/>
            <w:gridSpan w:val="2"/>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E1719B">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科目编码</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科目名称</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基本支出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项目支出</w:t>
            </w:r>
          </w:p>
        </w:tc>
      </w:tr>
      <w:tr w:rsidR="00E1719B">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公用经费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一般公共服务支出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2,768.09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1,418.55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369.81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979.73</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知识产权事务</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2011499</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其他知识产权事务支出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市场监督管理事务</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2,760.09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1,418.55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369.81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971.73</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行政运行</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1,418.55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369.81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2013805</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市场秩序执法</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16.00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16.00</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2013808</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信息化建设</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2013810</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质量基础</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63.29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63.29</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2013812</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药品事务</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20.60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20.60</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2013815</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质量安全监管</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94.14</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94.14</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2013816</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食品安全监管</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530.37</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530.37</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2013899</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其他市场监督管理事务</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239.33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239.33</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社会保障和就业支出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425.74</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425.74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425.74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行政事业单位养老支出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425.74</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425.74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425.74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行政单位离退休</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130.86</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130.86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130.86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2080505</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169.19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169.19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169.19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2080506</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机关事业单位职业年金缴费支出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125.69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125.69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125.69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卫生健康支出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152.55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152.55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152.55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行政事业单位医疗</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152.55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152.55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152.55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行政单位医疗</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142.73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142.73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142.73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2101103</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9.82</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9.82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农林水支出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146.66</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农业农村</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2130122</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农业生产发展</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住房保障支出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180.73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180.73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住房改革支出</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180.73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180.73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162.65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162.65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162.65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2210203</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购房补贴</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18.08</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18.08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22"/>
                <w:szCs w:val="22"/>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      计</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3,673.78</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2,547.38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2,177.57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369.81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1,126.40</w:t>
            </w:r>
          </w:p>
        </w:tc>
      </w:tr>
      <w:tr w:rsidR="00E1719B">
        <w:trPr>
          <w:trHeight w:val="23"/>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0"/>
                <w:szCs w:val="10"/>
              </w:rPr>
            </w:pPr>
            <w:r>
              <w:rPr>
                <w:rFonts w:ascii="宋体" w:eastAsia="宋体" w:hAnsi="宋体" w:cs="宋体"/>
                <w:color w:val="000000"/>
                <w:kern w:val="0"/>
                <w:sz w:val="10"/>
                <w:szCs w:val="10"/>
                <w:lang w:bidi="ar"/>
              </w:rPr>
              <w:t>口径说明：     人员经费：【项目类别】包含为11工资福利支出，12对个人和家庭补助支出。     公用经费：【项目类别】包含为21公用经费。     项目支出：【项目类别】不包含11工资福利支出，12对个人和家庭补助支出，21公用经费，【资金性质】不等于34事业单位经营收入资金。</w:t>
            </w:r>
          </w:p>
        </w:tc>
      </w:tr>
    </w:tbl>
    <w:p w:rsidR="00E1719B" w:rsidRDefault="00E1719B">
      <w:pPr>
        <w:pStyle w:val="2"/>
        <w:ind w:leftChars="0" w:left="0" w:firstLine="0"/>
        <w:rPr>
          <w:rFonts w:eastAsia="仿宋_GB2312" w:cstheme="minorBidi" w:hint="default"/>
          <w:sz w:val="30"/>
          <w:szCs w:val="30"/>
        </w:rPr>
      </w:pPr>
    </w:p>
    <w:tbl>
      <w:tblPr>
        <w:tblW w:w="4995" w:type="pct"/>
        <w:tblLook w:val="04A0" w:firstRow="1" w:lastRow="0" w:firstColumn="1" w:lastColumn="0" w:noHBand="0" w:noVBand="1"/>
      </w:tblPr>
      <w:tblGrid>
        <w:gridCol w:w="1353"/>
        <w:gridCol w:w="2742"/>
        <w:gridCol w:w="1953"/>
        <w:gridCol w:w="1949"/>
        <w:gridCol w:w="1959"/>
      </w:tblGrid>
      <w:tr w:rsidR="00E1719B">
        <w:trPr>
          <w:trHeight w:val="120"/>
        </w:trPr>
        <w:tc>
          <w:tcPr>
            <w:tcW w:w="679" w:type="pct"/>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表6</w:t>
            </w:r>
          </w:p>
        </w:tc>
        <w:tc>
          <w:tcPr>
            <w:tcW w:w="137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981"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979"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983" w:type="pct"/>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200"/>
        </w:trPr>
        <w:tc>
          <w:tcPr>
            <w:tcW w:w="5000" w:type="pct"/>
            <w:gridSpan w:val="5"/>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lastRenderedPageBreak/>
              <w:t>一般公共预算基本支出表</w:t>
            </w:r>
          </w:p>
        </w:tc>
      </w:tr>
      <w:tr w:rsidR="00E1719B">
        <w:trPr>
          <w:trHeight w:val="23"/>
        </w:trPr>
        <w:tc>
          <w:tcPr>
            <w:tcW w:w="3037" w:type="pct"/>
            <w:gridSpan w:val="3"/>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979" w:type="pct"/>
            <w:tcBorders>
              <w:top w:val="nil"/>
              <w:left w:val="nil"/>
              <w:bottom w:val="nil"/>
              <w:right w:val="nil"/>
            </w:tcBorders>
            <w:shd w:val="clear" w:color="auto" w:fill="auto"/>
            <w:vAlign w:val="center"/>
          </w:tcPr>
          <w:p w:rsidR="00E1719B" w:rsidRDefault="008429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983" w:type="pct"/>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单位：万元</w:t>
            </w:r>
          </w:p>
        </w:tc>
      </w:tr>
      <w:tr w:rsidR="00E1719B">
        <w:trPr>
          <w:trHeight w:val="23"/>
        </w:trPr>
        <w:tc>
          <w:tcPr>
            <w:tcW w:w="2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部门预算支出经济分类科目</w:t>
            </w:r>
          </w:p>
        </w:tc>
        <w:tc>
          <w:tcPr>
            <w:tcW w:w="29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本年一般公共预算基本支出</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科目编码</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科目名称</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人员经费</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公用经费</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工资福利支出</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1,957.66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1,954.06</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3.60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30101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基本工资</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515.35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515.35</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津贴补贴</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557.85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557.85</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30103</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奖金</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157.32</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153.72</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3.60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30108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机关事业单位基本养老保险缴费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169.19</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169.19</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30109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职业年金缴费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125.69</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125.69</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30110</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职工基本医疗保险缴费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64.15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64.15</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30111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公务员医疗补助缴费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9.82</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9.82</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30112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其他社会保障缴费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2.11</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2.11</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30113</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住房公积金</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162.65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162.65</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30199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其他工资福利支出</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193.52</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193.52</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商品和服务支出</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365.00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365.00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办公费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4.06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4.06</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印刷费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30203</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咨询费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5.00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5.00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30205</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水费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3.00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3.00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30206</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电费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10.00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10.00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30207</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邮电费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取暖费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17.20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17.20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30209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物业管理费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60.56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60.56</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30211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差旅费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10.76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10.76</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30213</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维修（护）费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2.95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2.95</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30216</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培训费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5.98</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5.98</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30217</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公务接待费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3.49</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3.49</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30227</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委托业务费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22.00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22.00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30228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工会经费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26.69</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26.69</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30229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福利费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26.16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26.16</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30231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公务用车运行维护费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61.00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61.00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30239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其他交通费用</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94.65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94.65</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30299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其他商品和服务支出</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7.50</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7.50</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303</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对个人和家庭的补助</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223.51</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223.51</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30301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离休费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20.75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20.75</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30302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退休费</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110.11</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110.11</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30305</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生活补助</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14.07</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14.07</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30307</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医疗费补助</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78.58</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78.58</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310</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资本性支出</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1.21</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1.21</w:t>
            </w:r>
          </w:p>
        </w:tc>
      </w:tr>
      <w:tr w:rsidR="00E1719B">
        <w:trPr>
          <w:trHeight w:val="23"/>
        </w:trPr>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31002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hint="eastAsia"/>
                <w:color w:val="000000"/>
                <w:kern w:val="0"/>
                <w:lang w:bidi="ar"/>
              </w:rPr>
              <w:t>办公设备购置</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1.21</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rPr>
            </w:pPr>
            <w:r>
              <w:rPr>
                <w:rFonts w:ascii="宋体" w:eastAsia="宋体" w:hAnsi="宋体" w:cs="宋体" w:hint="eastAsia"/>
                <w:color w:val="000000"/>
                <w:kern w:val="0"/>
                <w:lang w:bidi="ar"/>
              </w:rPr>
              <w:t>1.21</w:t>
            </w:r>
          </w:p>
        </w:tc>
      </w:tr>
      <w:tr w:rsidR="00E1719B">
        <w:trPr>
          <w:trHeight w:val="23"/>
        </w:trPr>
        <w:tc>
          <w:tcPr>
            <w:tcW w:w="2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rPr>
            </w:pPr>
            <w:r>
              <w:rPr>
                <w:rFonts w:ascii="宋体" w:eastAsia="宋体" w:hAnsi="宋体" w:cs="宋体" w:hint="eastAsia"/>
                <w:b/>
                <w:bCs/>
                <w:color w:val="000000"/>
                <w:kern w:val="0"/>
                <w:lang w:bidi="ar"/>
              </w:rPr>
              <w:t>合计</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2,547.38</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2,177.57</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rPr>
            </w:pPr>
            <w:r>
              <w:rPr>
                <w:rFonts w:ascii="宋体" w:eastAsia="宋体" w:hAnsi="宋体" w:cs="宋体" w:hint="eastAsia"/>
                <w:b/>
                <w:bCs/>
                <w:color w:val="000000"/>
                <w:kern w:val="0"/>
                <w:lang w:bidi="ar"/>
              </w:rPr>
              <w:t>369.81</w:t>
            </w:r>
          </w:p>
        </w:tc>
      </w:tr>
      <w:tr w:rsidR="00E1719B">
        <w:trPr>
          <w:trHeight w:val="2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rPr>
            </w:pPr>
            <w:r>
              <w:rPr>
                <w:rFonts w:ascii="宋体" w:eastAsia="宋体" w:hAnsi="宋体" w:cs="宋体"/>
                <w:color w:val="000000"/>
                <w:kern w:val="0"/>
                <w:lang w:bidi="ar"/>
              </w:rPr>
              <w:t>口径说明：     根据部门经济分类取值基本支出数据。</w:t>
            </w:r>
          </w:p>
        </w:tc>
      </w:tr>
    </w:tbl>
    <w:p w:rsidR="00E1719B" w:rsidRDefault="00E1719B">
      <w:pPr>
        <w:pStyle w:val="2"/>
        <w:ind w:leftChars="0" w:left="0" w:firstLine="0"/>
        <w:rPr>
          <w:rFonts w:eastAsia="仿宋_GB2312" w:cstheme="minorBidi" w:hint="default"/>
          <w:sz w:val="21"/>
          <w:szCs w:val="21"/>
        </w:rPr>
      </w:pPr>
    </w:p>
    <w:tbl>
      <w:tblPr>
        <w:tblW w:w="9873" w:type="dxa"/>
        <w:tblInd w:w="93" w:type="dxa"/>
        <w:tblLook w:val="04A0" w:firstRow="1" w:lastRow="0" w:firstColumn="1" w:lastColumn="0" w:noHBand="0" w:noVBand="1"/>
      </w:tblPr>
      <w:tblGrid>
        <w:gridCol w:w="806"/>
        <w:gridCol w:w="401"/>
        <w:gridCol w:w="587"/>
        <w:gridCol w:w="401"/>
        <w:gridCol w:w="401"/>
        <w:gridCol w:w="401"/>
        <w:gridCol w:w="401"/>
        <w:gridCol w:w="401"/>
        <w:gridCol w:w="587"/>
        <w:gridCol w:w="468"/>
        <w:gridCol w:w="468"/>
        <w:gridCol w:w="429"/>
        <w:gridCol w:w="429"/>
        <w:gridCol w:w="680"/>
        <w:gridCol w:w="587"/>
        <w:gridCol w:w="680"/>
        <w:gridCol w:w="554"/>
        <w:gridCol w:w="638"/>
        <w:gridCol w:w="554"/>
      </w:tblGrid>
      <w:tr w:rsidR="00E1719B">
        <w:trPr>
          <w:trHeight w:val="455"/>
        </w:trPr>
        <w:tc>
          <w:tcPr>
            <w:tcW w:w="1161" w:type="dxa"/>
            <w:gridSpan w:val="2"/>
            <w:tcBorders>
              <w:top w:val="nil"/>
              <w:left w:val="nil"/>
              <w:bottom w:val="nil"/>
              <w:right w:val="nil"/>
            </w:tcBorders>
            <w:shd w:val="clear" w:color="auto" w:fill="auto"/>
            <w:vAlign w:val="center"/>
          </w:tcPr>
          <w:p w:rsidR="00E1719B" w:rsidRDefault="008429D3">
            <w:pPr>
              <w:rPr>
                <w:rFonts w:ascii="宋体" w:eastAsia="宋体" w:hAnsi="宋体" w:cs="宋体"/>
                <w:color w:val="000000"/>
                <w:sz w:val="22"/>
                <w:szCs w:val="22"/>
              </w:rPr>
            </w:pPr>
            <w:r>
              <w:rPr>
                <w:rFonts w:ascii="宋体" w:eastAsia="宋体" w:hAnsi="宋体" w:cs="宋体" w:hint="eastAsia"/>
                <w:color w:val="000000"/>
                <w:kern w:val="0"/>
                <w:sz w:val="22"/>
                <w:szCs w:val="22"/>
                <w:lang w:bidi="ar"/>
              </w:rPr>
              <w:t>表7</w:t>
            </w:r>
          </w:p>
        </w:tc>
        <w:tc>
          <w:tcPr>
            <w:tcW w:w="564"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c>
          <w:tcPr>
            <w:tcW w:w="564"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545"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545"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493"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493"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652"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564"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652"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545"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612"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533" w:type="dxa"/>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r>
      <w:tr w:rsidR="00E1719B">
        <w:trPr>
          <w:trHeight w:val="779"/>
        </w:trPr>
        <w:tc>
          <w:tcPr>
            <w:tcW w:w="9873" w:type="dxa"/>
            <w:gridSpan w:val="19"/>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lastRenderedPageBreak/>
              <w:t>一般公共预算“三公”经费支出表</w:t>
            </w:r>
          </w:p>
        </w:tc>
      </w:tr>
      <w:tr w:rsidR="00E1719B">
        <w:trPr>
          <w:trHeight w:val="455"/>
        </w:trPr>
        <w:tc>
          <w:tcPr>
            <w:tcW w:w="2895" w:type="dxa"/>
            <w:gridSpan w:val="6"/>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E1719B" w:rsidRDefault="00E1719B">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1145" w:type="dxa"/>
            <w:gridSpan w:val="2"/>
            <w:tcBorders>
              <w:top w:val="nil"/>
              <w:left w:val="nil"/>
              <w:bottom w:val="nil"/>
              <w:right w:val="nil"/>
            </w:tcBorders>
            <w:shd w:val="clear" w:color="auto" w:fill="auto"/>
            <w:noWrap/>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单位：万元</w:t>
            </w:r>
          </w:p>
        </w:tc>
      </w:tr>
      <w:tr w:rsidR="00E1719B">
        <w:trPr>
          <w:trHeight w:val="569"/>
        </w:trPr>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单位名称</w:t>
            </w:r>
          </w:p>
        </w:tc>
        <w:tc>
          <w:tcPr>
            <w:tcW w:w="25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2023年预算数</w:t>
            </w:r>
          </w:p>
        </w:tc>
        <w:tc>
          <w:tcPr>
            <w:tcW w:w="3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2023年执行数</w:t>
            </w:r>
          </w:p>
        </w:tc>
        <w:tc>
          <w:tcPr>
            <w:tcW w:w="35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2024年预算数</w:t>
            </w:r>
          </w:p>
        </w:tc>
      </w:tr>
      <w:tr w:rsidR="00E1719B">
        <w:trPr>
          <w:trHeight w:val="569"/>
        </w:trPr>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"三公"经费合计</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因公出国(境)费</w:t>
            </w: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公务用车购置及运行费</w:t>
            </w: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公务接待费</w:t>
            </w: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"三公"经费合计</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因公出国(境)费</w:t>
            </w:r>
          </w:p>
        </w:tc>
        <w:tc>
          <w:tcPr>
            <w:tcW w:w="15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公务用车购置及运行费</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公务接待费</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"三公"经费合计</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因公出国(境)费</w:t>
            </w:r>
          </w:p>
        </w:tc>
        <w:tc>
          <w:tcPr>
            <w:tcW w:w="18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公务用车购置及运行费</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公务接待费</w:t>
            </w:r>
          </w:p>
        </w:tc>
      </w:tr>
      <w:tr w:rsidR="00E1719B">
        <w:trPr>
          <w:trHeight w:val="683"/>
        </w:trPr>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小计</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公务用车购置费</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公务用车运行维护费</w:t>
            </w: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小计</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公务用车购置费</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公务用车运行维护费</w:t>
            </w: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小计</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公务用车购置费</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公务用车运行维护费</w:t>
            </w:r>
          </w:p>
        </w:tc>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r>
      <w:tr w:rsidR="00E1719B">
        <w:trPr>
          <w:trHeight w:val="683"/>
        </w:trPr>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124001-锡林郭勒盟市场监督管理局</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64.49</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61.00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61.00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3.49</w:t>
            </w:r>
          </w:p>
        </w:tc>
      </w:tr>
      <w:tr w:rsidR="00E1719B">
        <w:trPr>
          <w:trHeight w:val="286"/>
        </w:trPr>
        <w:tc>
          <w:tcPr>
            <w:tcW w:w="987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     根据部门（单位）取值三公经费，部门经济分类分别为：     30212-因公出国（境）费用, 31013-公务用车购置, 30913-公务用车购置, 30231-公务用车运行维护费, 30217-公务接待费。</w:t>
            </w:r>
          </w:p>
        </w:tc>
      </w:tr>
    </w:tbl>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tbl>
      <w:tblPr>
        <w:tblW w:w="4998" w:type="pct"/>
        <w:tblLook w:val="04A0" w:firstRow="1" w:lastRow="0" w:firstColumn="1" w:lastColumn="0" w:noHBand="0" w:noVBand="1"/>
      </w:tblPr>
      <w:tblGrid>
        <w:gridCol w:w="3076"/>
        <w:gridCol w:w="2479"/>
        <w:gridCol w:w="1469"/>
        <w:gridCol w:w="1467"/>
        <w:gridCol w:w="1471"/>
      </w:tblGrid>
      <w:tr w:rsidR="00E1719B">
        <w:trPr>
          <w:trHeight w:val="455"/>
        </w:trPr>
        <w:tc>
          <w:tcPr>
            <w:tcW w:w="961" w:type="pct"/>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表8</w:t>
            </w:r>
          </w:p>
        </w:tc>
        <w:tc>
          <w:tcPr>
            <w:tcW w:w="139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824"/>
        </w:trPr>
        <w:tc>
          <w:tcPr>
            <w:tcW w:w="5000" w:type="pct"/>
            <w:gridSpan w:val="5"/>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政府性基金预算支出表</w:t>
            </w:r>
          </w:p>
        </w:tc>
      </w:tr>
      <w:tr w:rsidR="00E1719B">
        <w:trPr>
          <w:trHeight w:val="455"/>
        </w:trPr>
        <w:tc>
          <w:tcPr>
            <w:tcW w:w="3234" w:type="pct"/>
            <w:gridSpan w:val="3"/>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E1719B">
        <w:trPr>
          <w:trHeight w:val="569"/>
        </w:trPr>
        <w:tc>
          <w:tcPr>
            <w:tcW w:w="9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科目编码</w:t>
            </w:r>
          </w:p>
        </w:tc>
        <w:tc>
          <w:tcPr>
            <w:tcW w:w="1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科目名称</w:t>
            </w:r>
          </w:p>
        </w:tc>
        <w:tc>
          <w:tcPr>
            <w:tcW w:w="2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本年政府性基金预算支出</w:t>
            </w:r>
          </w:p>
        </w:tc>
      </w:tr>
      <w:tr w:rsidR="00E1719B">
        <w:trPr>
          <w:trHeight w:val="569"/>
        </w:trPr>
        <w:tc>
          <w:tcPr>
            <w:tcW w:w="9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1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基本支出</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项目支出</w:t>
            </w:r>
          </w:p>
        </w:tc>
      </w:tr>
      <w:tr w:rsidR="00E1719B">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      计</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r>
      <w:tr w:rsidR="00E1719B">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   【资金性质】=121政府性基金预算资金 ，122专项债券</w:t>
            </w:r>
          </w:p>
        </w:tc>
      </w:tr>
      <w:tr w:rsidR="00E1719B">
        <w:trPr>
          <w:trHeight w:val="270"/>
        </w:trPr>
        <w:tc>
          <w:tcPr>
            <w:tcW w:w="961" w:type="pct"/>
            <w:tcBorders>
              <w:top w:val="nil"/>
              <w:left w:val="nil"/>
              <w:bottom w:val="nil"/>
              <w:right w:val="nil"/>
            </w:tcBorders>
            <w:shd w:val="clear" w:color="auto" w:fill="auto"/>
            <w:noWrap/>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本单位无政府性基金预算支出</w:t>
            </w:r>
          </w:p>
        </w:tc>
        <w:tc>
          <w:tcPr>
            <w:tcW w:w="1390"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882"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r>
    </w:tbl>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tbl>
      <w:tblPr>
        <w:tblW w:w="4998" w:type="pct"/>
        <w:tblLook w:val="04A0" w:firstRow="1" w:lastRow="0" w:firstColumn="1" w:lastColumn="0" w:noHBand="0" w:noVBand="1"/>
      </w:tblPr>
      <w:tblGrid>
        <w:gridCol w:w="3296"/>
        <w:gridCol w:w="2407"/>
        <w:gridCol w:w="1418"/>
        <w:gridCol w:w="1420"/>
        <w:gridCol w:w="1421"/>
      </w:tblGrid>
      <w:tr w:rsidR="00E1719B">
        <w:trPr>
          <w:trHeight w:val="455"/>
        </w:trPr>
        <w:tc>
          <w:tcPr>
            <w:tcW w:w="1030" w:type="pct"/>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表9</w:t>
            </w:r>
          </w:p>
        </w:tc>
        <w:tc>
          <w:tcPr>
            <w:tcW w:w="1363"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68"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68"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68" w:type="pct"/>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854"/>
        </w:trPr>
        <w:tc>
          <w:tcPr>
            <w:tcW w:w="5000" w:type="pct"/>
            <w:gridSpan w:val="5"/>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国有资本经营预算支出表</w:t>
            </w:r>
          </w:p>
        </w:tc>
      </w:tr>
      <w:tr w:rsidR="00E1719B">
        <w:trPr>
          <w:trHeight w:val="286"/>
        </w:trPr>
        <w:tc>
          <w:tcPr>
            <w:tcW w:w="4131" w:type="pct"/>
            <w:gridSpan w:val="4"/>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868" w:type="pct"/>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E1719B">
        <w:trPr>
          <w:trHeight w:val="569"/>
        </w:trPr>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科目编码</w:t>
            </w: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科目名称</w:t>
            </w:r>
          </w:p>
        </w:tc>
        <w:tc>
          <w:tcPr>
            <w:tcW w:w="260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本年国有资本经营预算支出</w:t>
            </w:r>
          </w:p>
        </w:tc>
      </w:tr>
      <w:tr w:rsidR="00E1719B">
        <w:trPr>
          <w:trHeight w:val="569"/>
        </w:trPr>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基本支出</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项目支出</w:t>
            </w:r>
          </w:p>
        </w:tc>
      </w:tr>
      <w:tr w:rsidR="00E1719B">
        <w:trPr>
          <w:trHeight w:val="683"/>
        </w:trPr>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r>
      <w:tr w:rsidR="00E1719B">
        <w:trPr>
          <w:trHeight w:val="683"/>
        </w:trPr>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r>
      <w:tr w:rsidR="00E1719B">
        <w:trPr>
          <w:trHeight w:val="683"/>
        </w:trPr>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4"/>
                <w:szCs w:val="24"/>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2"/>
                <w:szCs w:val="22"/>
              </w:rPr>
            </w:pPr>
          </w:p>
        </w:tc>
      </w:tr>
      <w:tr w:rsidR="00E1719B">
        <w:trPr>
          <w:trHeight w:val="683"/>
        </w:trPr>
        <w:tc>
          <w:tcPr>
            <w:tcW w:w="239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r>
      <w:tr w:rsidR="00E1719B">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   【资金性质】=13国有资本经营预算资金</w:t>
            </w:r>
          </w:p>
        </w:tc>
      </w:tr>
      <w:tr w:rsidR="00E1719B">
        <w:trPr>
          <w:trHeight w:val="270"/>
        </w:trPr>
        <w:tc>
          <w:tcPr>
            <w:tcW w:w="1030" w:type="pct"/>
            <w:tcBorders>
              <w:top w:val="nil"/>
              <w:left w:val="nil"/>
              <w:bottom w:val="nil"/>
              <w:right w:val="nil"/>
            </w:tcBorders>
            <w:shd w:val="clear" w:color="auto" w:fill="auto"/>
            <w:noWrap/>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本单位无国有资本经营预算支出</w:t>
            </w:r>
          </w:p>
        </w:tc>
        <w:tc>
          <w:tcPr>
            <w:tcW w:w="1363"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868"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868"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868"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r>
    </w:tbl>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tbl>
      <w:tblPr>
        <w:tblW w:w="4989" w:type="pct"/>
        <w:tblLayout w:type="fixed"/>
        <w:tblLook w:val="04A0" w:firstRow="1" w:lastRow="0" w:firstColumn="1" w:lastColumn="0" w:noHBand="0" w:noVBand="1"/>
      </w:tblPr>
      <w:tblGrid>
        <w:gridCol w:w="750"/>
        <w:gridCol w:w="1114"/>
        <w:gridCol w:w="899"/>
        <w:gridCol w:w="1004"/>
        <w:gridCol w:w="1018"/>
        <w:gridCol w:w="1148"/>
        <w:gridCol w:w="493"/>
        <w:gridCol w:w="511"/>
        <w:gridCol w:w="941"/>
        <w:gridCol w:w="553"/>
        <w:gridCol w:w="497"/>
        <w:gridCol w:w="497"/>
        <w:gridCol w:w="519"/>
      </w:tblGrid>
      <w:tr w:rsidR="00E1719B">
        <w:trPr>
          <w:trHeight w:val="23"/>
        </w:trPr>
        <w:tc>
          <w:tcPr>
            <w:tcW w:w="937" w:type="pct"/>
            <w:gridSpan w:val="2"/>
            <w:tcBorders>
              <w:top w:val="nil"/>
              <w:left w:val="nil"/>
              <w:bottom w:val="nil"/>
              <w:right w:val="nil"/>
            </w:tcBorders>
            <w:shd w:val="clear" w:color="auto" w:fill="auto"/>
            <w:vAlign w:val="center"/>
          </w:tcPr>
          <w:p w:rsidR="00E1719B" w:rsidRDefault="008429D3">
            <w:pPr>
              <w:rPr>
                <w:rFonts w:ascii="宋体" w:eastAsia="宋体" w:hAnsi="宋体" w:cs="宋体"/>
                <w:color w:val="000000"/>
                <w:sz w:val="22"/>
                <w:szCs w:val="22"/>
              </w:rPr>
            </w:pPr>
            <w:r>
              <w:rPr>
                <w:rFonts w:ascii="宋体" w:eastAsia="宋体" w:hAnsi="宋体" w:cs="宋体" w:hint="eastAsia"/>
                <w:color w:val="000000"/>
                <w:kern w:val="0"/>
                <w:sz w:val="22"/>
                <w:szCs w:val="22"/>
                <w:lang w:bidi="ar"/>
              </w:rPr>
              <w:t>表10</w:t>
            </w:r>
          </w:p>
        </w:tc>
        <w:tc>
          <w:tcPr>
            <w:tcW w:w="452"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505"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512"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577"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248"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255"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473"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27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25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25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258" w:type="pct"/>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23"/>
        </w:trPr>
        <w:tc>
          <w:tcPr>
            <w:tcW w:w="5000" w:type="pct"/>
            <w:gridSpan w:val="13"/>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项目支出表</w:t>
            </w:r>
          </w:p>
        </w:tc>
      </w:tr>
      <w:tr w:rsidR="00E1719B">
        <w:trPr>
          <w:trHeight w:val="23"/>
        </w:trPr>
        <w:tc>
          <w:tcPr>
            <w:tcW w:w="4239" w:type="pct"/>
            <w:gridSpan w:val="10"/>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760" w:type="pct"/>
            <w:gridSpan w:val="3"/>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E1719B">
        <w:trPr>
          <w:trHeight w:val="23"/>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类型</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项目名称</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单位编码</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项目单位</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08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本年拨款</w:t>
            </w:r>
          </w:p>
        </w:tc>
        <w:tc>
          <w:tcPr>
            <w:tcW w:w="1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财政拨款结转结余</w:t>
            </w:r>
          </w:p>
        </w:tc>
        <w:tc>
          <w:tcPr>
            <w:tcW w:w="2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单位资金</w:t>
            </w:r>
          </w:p>
        </w:tc>
      </w:tr>
      <w:tr w:rsidR="00E1719B">
        <w:trPr>
          <w:trHeight w:val="23"/>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24"/>
                <w:szCs w:val="24"/>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2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8"/>
                <w:szCs w:val="18"/>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2024年创建国家食品安全示范城市工作资金</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221.30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221.30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专项资金项目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全盟地方特色乳制品产业重点工作资金</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140.00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创建国家食品安全示范城市工作资金</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285.07</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285.07</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办公楼维修</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180.00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专项资金项目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奶制品产业发展资金</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6.66</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6.66</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安全生产专项经费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15.00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市场综合执法监管业务费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16.00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报废气瓶无害化处理业务费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民生计量器具免费检定及监督检查业务费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hint="eastAsia"/>
                <w:color w:val="000000"/>
                <w:kern w:val="0"/>
                <w:sz w:val="20"/>
                <w:szCs w:val="20"/>
                <w:lang w:bidi="ar"/>
              </w:rPr>
              <w:lastRenderedPageBreak/>
              <w:t>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流通领域</w:t>
            </w:r>
            <w:r>
              <w:rPr>
                <w:rFonts w:ascii="宋体" w:eastAsia="宋体" w:hAnsi="宋体" w:cs="宋体" w:hint="eastAsia"/>
                <w:color w:val="000000"/>
                <w:kern w:val="0"/>
                <w:sz w:val="20"/>
                <w:szCs w:val="20"/>
                <w:lang w:bidi="ar"/>
              </w:rPr>
              <w:lastRenderedPageBreak/>
              <w:t>成品油、车用尿素等产品质量抽查及监督检查业务费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w:t>
            </w:r>
            <w:r>
              <w:rPr>
                <w:rFonts w:ascii="宋体" w:eastAsia="宋体" w:hAnsi="宋体" w:cs="宋体" w:hint="eastAsia"/>
                <w:color w:val="000000"/>
                <w:kern w:val="0"/>
                <w:sz w:val="20"/>
                <w:szCs w:val="20"/>
                <w:lang w:bidi="ar"/>
              </w:rPr>
              <w:lastRenderedPageBreak/>
              <w:t>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37.00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特种设备安全监察</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12.14</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0.14</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电梯应急救援处置中心运行维护经费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40.00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知识产权工作业务费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聘请第三方机构开展重点领域重点企业安全评估检查</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67.00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药品安全监管及标准化建设经费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20.60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蒙字标培育专项经费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计量标准化项目和政府质量考核督查经费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13.29</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5.29</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食品安全监督抽检及风险监测及监督检查业务费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24.00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食品药品安全监管辅助人员经费</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19.33</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19.33</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20"/>
                <w:szCs w:val="20"/>
              </w:rPr>
            </w:pPr>
          </w:p>
        </w:tc>
      </w:tr>
      <w:tr w:rsidR="00E1719B">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  计</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color w:val="000000"/>
                <w:sz w:val="20"/>
                <w:szCs w:val="2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1,126.40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629.30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497.10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0"/>
                <w:szCs w:val="20"/>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20"/>
                <w:szCs w:val="20"/>
              </w:rPr>
            </w:pPr>
          </w:p>
        </w:tc>
      </w:tr>
      <w:tr w:rsidR="00E1719B">
        <w:trPr>
          <w:trHeight w:val="23"/>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10"/>
                <w:szCs w:val="10"/>
                <w:lang w:bidi="ar"/>
              </w:rPr>
              <w:t>口径说明：     一般公共预算拨款收入：【资金性质】=111一般公共预算资金 ，114外国政府和国际组织赠款；【资金来源】=本级财力-11年初安排，12预估，上级补助-21年初安排，22预估     政府性基金预算拨款收入：【资金性质】=121政府性基金预算资金 ，122专项债券；【资金来源】=本级财力-11年初安排，12预估，上级补助-21年初安排，22预估     国有资本经营预算拨款收入：【资金性质】=13国有资本经营预算资金；【资金来源】=本级财力-11年初安排，12预估，上级补助-21年初安排，22预估     财政专户管理资金收入：【资金性质】=2财政专户管理资金；【资金来源】=本级财力-13预计结转,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w:t>
            </w:r>
          </w:p>
        </w:tc>
      </w:tr>
    </w:tbl>
    <w:p w:rsidR="00E1719B" w:rsidRDefault="00E1719B">
      <w:pPr>
        <w:pStyle w:val="2"/>
        <w:ind w:leftChars="0" w:left="0" w:firstLine="0"/>
        <w:rPr>
          <w:rFonts w:eastAsia="仿宋_GB2312" w:cstheme="minorBidi" w:hint="default"/>
          <w:sz w:val="21"/>
          <w:szCs w:val="21"/>
        </w:rPr>
      </w:pPr>
    </w:p>
    <w:tbl>
      <w:tblPr>
        <w:tblW w:w="4994" w:type="pct"/>
        <w:tblLook w:val="04A0" w:firstRow="1" w:lastRow="0" w:firstColumn="1" w:lastColumn="0" w:noHBand="0" w:noVBand="1"/>
      </w:tblPr>
      <w:tblGrid>
        <w:gridCol w:w="815"/>
        <w:gridCol w:w="1262"/>
        <w:gridCol w:w="589"/>
        <w:gridCol w:w="1183"/>
        <w:gridCol w:w="1095"/>
        <w:gridCol w:w="589"/>
        <w:gridCol w:w="589"/>
        <w:gridCol w:w="764"/>
        <w:gridCol w:w="589"/>
        <w:gridCol w:w="625"/>
        <w:gridCol w:w="655"/>
        <w:gridCol w:w="540"/>
        <w:gridCol w:w="659"/>
      </w:tblGrid>
      <w:tr w:rsidR="00E1719B">
        <w:trPr>
          <w:trHeight w:val="23"/>
        </w:trPr>
        <w:tc>
          <w:tcPr>
            <w:tcW w:w="409" w:type="pct"/>
            <w:tcBorders>
              <w:top w:val="nil"/>
              <w:left w:val="nil"/>
              <w:bottom w:val="nil"/>
              <w:right w:val="nil"/>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表11</w:t>
            </w:r>
          </w:p>
        </w:tc>
        <w:tc>
          <w:tcPr>
            <w:tcW w:w="634"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16"/>
                <w:szCs w:val="16"/>
              </w:rPr>
            </w:pPr>
          </w:p>
        </w:tc>
        <w:tc>
          <w:tcPr>
            <w:tcW w:w="29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594"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55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29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29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384"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29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308"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329"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271"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329" w:type="pct"/>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16"/>
                <w:szCs w:val="16"/>
              </w:rPr>
            </w:pPr>
          </w:p>
        </w:tc>
      </w:tr>
      <w:tr w:rsidR="00E1719B">
        <w:trPr>
          <w:trHeight w:val="23"/>
        </w:trPr>
        <w:tc>
          <w:tcPr>
            <w:tcW w:w="5000" w:type="pct"/>
            <w:gridSpan w:val="13"/>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16"/>
                <w:szCs w:val="16"/>
              </w:rPr>
            </w:pPr>
            <w:r>
              <w:rPr>
                <w:rFonts w:ascii="黑体" w:eastAsia="黑体" w:hAnsi="宋体" w:cs="黑体" w:hint="eastAsia"/>
                <w:color w:val="000000"/>
                <w:kern w:val="0"/>
                <w:sz w:val="32"/>
                <w:szCs w:val="32"/>
                <w:lang w:bidi="ar"/>
              </w:rPr>
              <w:lastRenderedPageBreak/>
              <w:t>项目绩效目标表</w:t>
            </w:r>
          </w:p>
        </w:tc>
      </w:tr>
      <w:tr w:rsidR="00E1719B">
        <w:trPr>
          <w:trHeight w:val="23"/>
        </w:trPr>
        <w:tc>
          <w:tcPr>
            <w:tcW w:w="4069" w:type="pct"/>
            <w:gridSpan w:val="10"/>
            <w:tcBorders>
              <w:top w:val="nil"/>
              <w:left w:val="nil"/>
              <w:bottom w:val="nil"/>
              <w:right w:val="nil"/>
            </w:tcBorders>
            <w:shd w:val="clear" w:color="auto" w:fill="auto"/>
            <w:vAlign w:val="center"/>
          </w:tcPr>
          <w:p w:rsidR="00E1719B" w:rsidRDefault="00E1719B">
            <w:pPr>
              <w:rPr>
                <w:rFonts w:ascii="宋体" w:eastAsia="宋体" w:hAnsi="宋体" w:cs="宋体"/>
                <w:color w:val="000000"/>
                <w:sz w:val="16"/>
                <w:szCs w:val="16"/>
              </w:rPr>
            </w:pPr>
          </w:p>
        </w:tc>
        <w:tc>
          <w:tcPr>
            <w:tcW w:w="930" w:type="pct"/>
            <w:gridSpan w:val="3"/>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单位：万元</w:t>
            </w:r>
          </w:p>
        </w:tc>
      </w:tr>
      <w:tr w:rsidR="00E1719B">
        <w:trPr>
          <w:trHeight w:val="23"/>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项目名称</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项目单位</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项目类别</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预算数</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年度绩效目标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一级指标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二级指标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三级指标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指标性质</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指标方向</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目标值</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计量单位</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分值</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职业年金做实</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工资福利支出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125.69</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结余率=结余数/预算数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在职住房改革</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工资福利支出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180.73</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结余率=结余数/预算数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在职保险</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工资福利支出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245.27</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结余率=结余数/预算数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在职工资</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工资福利支出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1,355.65</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结余率=结余数/预算数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退休保险</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对个人和家庭补助支出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78.58</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结余率=结余数/预算数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生活补助</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对个人和家庭补助支出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10.07</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结余率=结余数/预算数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离退休</w:t>
            </w:r>
            <w:r>
              <w:rPr>
                <w:rFonts w:ascii="宋体" w:eastAsia="宋体" w:hAnsi="宋体" w:cs="宋体" w:hint="eastAsia"/>
                <w:color w:val="000000"/>
                <w:kern w:val="0"/>
                <w:sz w:val="16"/>
                <w:szCs w:val="16"/>
                <w:lang w:bidi="ar"/>
              </w:rPr>
              <w:lastRenderedPageBreak/>
              <w:t>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124001-锡林郭</w:t>
            </w:r>
            <w:r>
              <w:rPr>
                <w:rFonts w:ascii="宋体" w:eastAsia="宋体" w:hAnsi="宋体" w:cs="宋体" w:hint="eastAsia"/>
                <w:color w:val="000000"/>
                <w:kern w:val="0"/>
                <w:sz w:val="16"/>
                <w:szCs w:val="16"/>
                <w:lang w:bidi="ar"/>
              </w:rPr>
              <w:lastRenderedPageBreak/>
              <w:t>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对个</w:t>
            </w:r>
            <w:r>
              <w:rPr>
                <w:rFonts w:ascii="宋体" w:eastAsia="宋体" w:hAnsi="宋体" w:cs="宋体" w:hint="eastAsia"/>
                <w:color w:val="000000"/>
                <w:kern w:val="0"/>
                <w:sz w:val="16"/>
                <w:szCs w:val="16"/>
                <w:lang w:bidi="ar"/>
              </w:rPr>
              <w:lastRenderedPageBreak/>
              <w:t>人和家庭补助支出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130.86</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w:t>
            </w:r>
            <w:r>
              <w:rPr>
                <w:rFonts w:ascii="宋体" w:eastAsia="宋体" w:hAnsi="宋体" w:cs="宋体" w:hint="eastAsia"/>
                <w:color w:val="000000"/>
                <w:kern w:val="0"/>
                <w:sz w:val="16"/>
                <w:szCs w:val="16"/>
                <w:lang w:bidi="ar"/>
              </w:rPr>
              <w:lastRenderedPageBreak/>
              <w:t>关政策，保障工资及时发放、足额发放，预算编制科学合理，减少结余资金</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效益</w:t>
            </w:r>
            <w:r>
              <w:rPr>
                <w:rFonts w:ascii="宋体" w:eastAsia="宋体" w:hAnsi="宋体" w:cs="宋体" w:hint="eastAsia"/>
                <w:color w:val="000000"/>
                <w:kern w:val="0"/>
                <w:sz w:val="16"/>
                <w:szCs w:val="16"/>
                <w:lang w:bidi="ar"/>
              </w:rPr>
              <w:lastRenderedPageBreak/>
              <w:t>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经济</w:t>
            </w:r>
            <w:r>
              <w:rPr>
                <w:rFonts w:ascii="宋体" w:eastAsia="宋体" w:hAnsi="宋体" w:cs="宋体" w:hint="eastAsia"/>
                <w:color w:val="000000"/>
                <w:kern w:val="0"/>
                <w:sz w:val="16"/>
                <w:szCs w:val="16"/>
                <w:lang w:bidi="ar"/>
              </w:rPr>
              <w:lastRenderedPageBreak/>
              <w:t>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结余率</w:t>
            </w:r>
            <w:r>
              <w:rPr>
                <w:rFonts w:ascii="宋体" w:eastAsia="宋体" w:hAnsi="宋体" w:cs="宋体" w:hint="eastAsia"/>
                <w:color w:val="000000"/>
                <w:kern w:val="0"/>
                <w:sz w:val="16"/>
                <w:szCs w:val="16"/>
                <w:lang w:bidi="ar"/>
              </w:rPr>
              <w:lastRenderedPageBreak/>
              <w:t>=结余数/预算数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w:t>
            </w:r>
            <w:r>
              <w:rPr>
                <w:rFonts w:ascii="宋体" w:eastAsia="宋体" w:hAnsi="宋体" w:cs="宋体" w:hint="eastAsia"/>
                <w:color w:val="000000"/>
                <w:kern w:val="0"/>
                <w:sz w:val="16"/>
                <w:szCs w:val="16"/>
                <w:lang w:bidi="ar"/>
              </w:rPr>
              <w:lastRenderedPageBreak/>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生活补助(选调生)</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对个人和家庭补助支出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发放及时率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足额保障率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结余率=结余数/预算数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编外长聘人员工资福利</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编制外长期聘用人员工资</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46.71</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三公经费控制率=（实际支出数/预算安排数）x100%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运转保障率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预算编制质量=（执行数-预算数）/预算数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物业运维</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90.76</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三公经费控制率=（实际支出数/预算安排数）x100%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运转保障率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预算编制质量=（执行数-预算数）/预算数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定额公用经费(3)</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145.28</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运转保障率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三公经费控制率=（实际支出数/预算安排数）x100%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w:t>
            </w:r>
            <w:r>
              <w:rPr>
                <w:rFonts w:ascii="宋体" w:eastAsia="宋体" w:hAnsi="宋体" w:cs="宋体" w:hint="eastAsia"/>
                <w:color w:val="000000"/>
                <w:kern w:val="0"/>
                <w:sz w:val="16"/>
                <w:szCs w:val="16"/>
                <w:lang w:bidi="ar"/>
              </w:rPr>
              <w:lastRenderedPageBreak/>
              <w:t>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质量</w:t>
            </w:r>
            <w:r>
              <w:rPr>
                <w:rFonts w:ascii="宋体" w:eastAsia="宋体" w:hAnsi="宋体" w:cs="宋体" w:hint="eastAsia"/>
                <w:color w:val="000000"/>
                <w:kern w:val="0"/>
                <w:sz w:val="16"/>
                <w:szCs w:val="16"/>
                <w:lang w:bidi="ar"/>
              </w:rPr>
              <w:lastRenderedPageBreak/>
              <w:t>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预算编</w:t>
            </w:r>
            <w:r>
              <w:rPr>
                <w:rFonts w:ascii="宋体" w:eastAsia="宋体" w:hAnsi="宋体" w:cs="宋体" w:hint="eastAsia"/>
                <w:color w:val="000000"/>
                <w:kern w:val="0"/>
                <w:sz w:val="16"/>
                <w:szCs w:val="16"/>
                <w:lang w:bidi="ar"/>
              </w:rPr>
              <w:lastRenderedPageBreak/>
              <w:t>制质量=（执行数-预算数）/预算数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w:t>
            </w:r>
            <w:r>
              <w:rPr>
                <w:rFonts w:ascii="宋体" w:eastAsia="宋体" w:hAnsi="宋体" w:cs="宋体" w:hint="eastAsia"/>
                <w:color w:val="000000"/>
                <w:kern w:val="0"/>
                <w:sz w:val="16"/>
                <w:szCs w:val="16"/>
                <w:lang w:bidi="ar"/>
              </w:rPr>
              <w:lastRenderedPageBreak/>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30.55</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运转保障率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三公经费控制率=（实际支出数/预算安排数）x100%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预算编制质量=（执行数-预算数）/预算数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61.00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运转保障率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三公经费控制率=（实际支出数/预算安排数）x100%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预算编制质量=（执行数-预算数）/预算数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2024年度在职妇女卫生费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2.22</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严格执行相关政策，保障工资及时发放、足额发放，预算编制科学合理，减少结余资金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三公经费控制率=（实际支出数/预算安排数）x100%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运转保障率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预算编制质量=（执行数-预算数）/预算数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科目调整次数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电梯应急救援处置中心运行维护经</w:t>
            </w:r>
            <w:r>
              <w:rPr>
                <w:rFonts w:ascii="宋体" w:eastAsia="宋体" w:hAnsi="宋体" w:cs="宋体" w:hint="eastAsia"/>
                <w:color w:val="000000"/>
                <w:kern w:val="0"/>
                <w:sz w:val="16"/>
                <w:szCs w:val="16"/>
                <w:lang w:bidi="ar"/>
              </w:rPr>
              <w:lastRenderedPageBreak/>
              <w:t>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维护机器设备正常运转，确保电梯应急处置中心正常运</w:t>
            </w:r>
            <w:r>
              <w:rPr>
                <w:rFonts w:ascii="宋体" w:eastAsia="宋体" w:hAnsi="宋体" w:cs="宋体" w:hint="eastAsia"/>
                <w:color w:val="000000"/>
                <w:kern w:val="0"/>
                <w:sz w:val="16"/>
                <w:szCs w:val="16"/>
                <w:lang w:bidi="ar"/>
              </w:rPr>
              <w:lastRenderedPageBreak/>
              <w:t>行。</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聘用人员数量</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维修维护设备次数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网络服务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年</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网络服务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万元/年</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维修维护设备成本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元/次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聘用人员工资及社保等</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万元/年</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使用及时率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维护及时率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工资到位及时率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使用率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维护率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工资到位率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提升人民群众对电梯安全的信赖度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保证电梯安全运行使人民放心乘梯</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降低企业维修成本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报废气瓶无害化处理业务费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严防报废气瓶重新流入市场，消除报废气瓶安全隐患。目标1：运送报废气瓶；目标2：处理报废气瓶。</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防止报废气瓶残液泄露发生火灾或爆炸事故</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通过处理报废气瓶消除安全隐患</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确保全盟安全生产形势平稳经济有效运行</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动员全社会对所有在用的废旧气瓶进行报废处理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报废气瓶运输处理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元/只</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全盟报废气瓶处理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元/只</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项目实施时间</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报废及时率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运输处理及时率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运输处理率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报废率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报废气瓶运输处理数量</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只</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全盟报废气瓶处理数量</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只</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气瓶产权单位及人民群众满意度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特种设备安全监察</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督促特种设备的生产、经营、使用单位落实安全主体责任，加强特种设备安全监督检查工作并建立长效机制。目标1：全盟特种设备安全督察检查；目标2：特种设备安全教育培训。</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全盟特种设备安全检查督查成本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特种设备安全培训成本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印刷成本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项目实施时间</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全盟特种设备安全检查督查旗县</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个</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特种设备安全教育培训次数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印刷资料数量</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册</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培训的覆盖率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确保全盟安全生产形势平稳经济有</w:t>
            </w:r>
            <w:r>
              <w:rPr>
                <w:rFonts w:ascii="宋体" w:eastAsia="宋体" w:hAnsi="宋体" w:cs="宋体" w:hint="eastAsia"/>
                <w:color w:val="000000"/>
                <w:kern w:val="0"/>
                <w:sz w:val="16"/>
                <w:szCs w:val="16"/>
                <w:lang w:bidi="ar"/>
              </w:rPr>
              <w:lastRenderedPageBreak/>
              <w:t>效运行</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促进全盟经济社会和谐稳定发展</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保障特种设备安全运行保护人民生命及财产安全</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聘请第三方机构开展重点领域重点企业安全评估检查</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67.00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盟市场监管局为进一步增强风险意识，聚焦重点任务，严抓安全隐患排查整治，防范化解重大安全风险，不断提升安全监管能力和水平，按照《内蒙古自治区特种设备安全监管能力建设工作方案》要求，拟聘请专家组对全盟特种设备领域开展专业化排查，系统精准治理安全风险。</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通过评估达到设备利用率提高</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通过评估达到节能环保提高生态环境</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提升人民社会安全感</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提高社会安全从而促进经济发展</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成本控制率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特种设备领域专项评估成本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67</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完成时间</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年</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完成的及时率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特种设备领域专项评估验收的合格率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检查评估的合格率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安全生产检查聘请机构家数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家</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特种设备领域专项评估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w:t>
            </w:r>
            <w:r>
              <w:rPr>
                <w:rFonts w:ascii="宋体" w:eastAsia="宋体" w:hAnsi="宋体" w:cs="宋体" w:hint="eastAsia"/>
                <w:color w:val="000000"/>
                <w:kern w:val="0"/>
                <w:sz w:val="16"/>
                <w:szCs w:val="16"/>
                <w:lang w:bidi="ar"/>
              </w:rPr>
              <w:lastRenderedPageBreak/>
              <w:t>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食品安全监督抽检及风险监测及监督检查业务费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开展食品药品化妆品安全日常监督抽检、专项执法监督抽检和风险监测。</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投诉举报率下降</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抽检工作可有效降低不合格食品对环境的危害程度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食品药品保障安全水平逐步提高</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利于开展针对性监管提高监管经费使用效率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公众对食品安全的满意度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日常食品监督抽检包括采样费和购样费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化妆品监督抽检包括采样费和购样费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风险监测包括采样费和购样费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食品安全抽检购抽样袋</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6000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个</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药品监督抽检包括采样费和购样费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专项稽查执法抽检包括采样费和购样费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食品安全抽检购抽样袋</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专项稽查执法</w:t>
            </w:r>
            <w:r>
              <w:rPr>
                <w:rFonts w:ascii="宋体" w:eastAsia="宋体" w:hAnsi="宋体" w:cs="宋体" w:hint="eastAsia"/>
                <w:color w:val="000000"/>
                <w:kern w:val="0"/>
                <w:sz w:val="16"/>
                <w:szCs w:val="16"/>
                <w:lang w:bidi="ar"/>
              </w:rPr>
              <w:lastRenderedPageBreak/>
              <w:t>抽检平均成本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药品监督抽检平均成本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风险监测平均成本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化妆品监督抽检平均成本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日常食品监督抽检平均成本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工作完成时限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抽验任务完成及时率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抽检合格率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抽验任务完成率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市场综合执法监管业务费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办案2024年度预估为100件左右，涉及案件范围为：食品、药品、特种设备、产品质量、制假售假、标准、计量、认证认可、知识产权、消费者权益、公司违法等案件，所需费用包含盟内外调查取证所产生的差旅费、培训等费用。</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减少市场的不安定因素有利于促进社会秩序的长期稳定</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督促企业合法合规经营减少资源浪费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规范市场秩序促进社会秩序稳定</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通过监管规范市场秩序保护人民群众经济利益</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执法综合培训成本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执法办案成本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执法办案处理及时性</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执法综合培训完成时限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w:t>
            </w:r>
            <w:r>
              <w:rPr>
                <w:rFonts w:ascii="宋体" w:eastAsia="宋体" w:hAnsi="宋体" w:cs="宋体" w:hint="eastAsia"/>
                <w:color w:val="000000"/>
                <w:kern w:val="0"/>
                <w:sz w:val="16"/>
                <w:szCs w:val="16"/>
                <w:lang w:bidi="ar"/>
              </w:rPr>
              <w:lastRenderedPageBreak/>
              <w:t>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执法综</w:t>
            </w:r>
            <w:r>
              <w:rPr>
                <w:rFonts w:ascii="宋体" w:eastAsia="宋体" w:hAnsi="宋体" w:cs="宋体" w:hint="eastAsia"/>
                <w:color w:val="000000"/>
                <w:kern w:val="0"/>
                <w:sz w:val="16"/>
                <w:szCs w:val="16"/>
                <w:lang w:bidi="ar"/>
              </w:rPr>
              <w:lastRenderedPageBreak/>
              <w:t>合培训覆盖率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w:t>
            </w:r>
            <w:r>
              <w:rPr>
                <w:rFonts w:ascii="宋体" w:eastAsia="宋体" w:hAnsi="宋体" w:cs="宋体" w:hint="eastAsia"/>
                <w:color w:val="000000"/>
                <w:kern w:val="0"/>
                <w:sz w:val="16"/>
                <w:szCs w:val="16"/>
                <w:lang w:bidi="ar"/>
              </w:rPr>
              <w:lastRenderedPageBreak/>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执法办案处理合格率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执法综合培训次数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执法办案天数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天</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知识产权工作业务费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根据自治区“五大任务”台账中关于“加强知识产权保护”工作要求《全区营商环境评估反馈问题整改提升台账》等文件中的任务分工开展业务。目标1.开展知识产权业务检查；目标2.开展知识产权业务培训；目标3.开展知识产权周等宣传活动。</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开展知识产权业务培训次数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开展知识产权业务宣传次数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开展知识产权业务检查次数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开展知识产权业务宣传成本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开展知识产权业务培训成本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开展知识产权业务检查成本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开展知识产权业务培训完成时限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开展知识产权业务检查完成时限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开展知识产权业务培训覆盖率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开展知识产权业务检查完成率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知识产权保护促进企业创新带动经济发展</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有所提高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w:t>
            </w:r>
            <w:r>
              <w:rPr>
                <w:rFonts w:ascii="宋体" w:eastAsia="宋体" w:hAnsi="宋体" w:cs="宋体" w:hint="eastAsia"/>
                <w:color w:val="000000"/>
                <w:kern w:val="0"/>
                <w:sz w:val="16"/>
                <w:szCs w:val="16"/>
                <w:lang w:bidi="ar"/>
              </w:rPr>
              <w:lastRenderedPageBreak/>
              <w:t>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提高群众认识</w:t>
            </w:r>
            <w:r>
              <w:rPr>
                <w:rFonts w:ascii="宋体" w:eastAsia="宋体" w:hAnsi="宋体" w:cs="宋体" w:hint="eastAsia"/>
                <w:color w:val="000000"/>
                <w:kern w:val="0"/>
                <w:sz w:val="16"/>
                <w:szCs w:val="16"/>
                <w:lang w:bidi="ar"/>
              </w:rPr>
              <w:lastRenderedPageBreak/>
              <w:t>构建知识产权保护意识的持续影响时限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长达一年</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提高知识产权商标知名度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有所提高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流通领域成品油、车用尿素等产品质量抽查及监督检查业务费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37.00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依照《中华人民共和国产品质量法》及《产品质量监督抽查管理暂行办法》依法组织对我盟境内企业生产的重点工业产品进行有计划地随机抽样开展质量检验，抽检结果向社会预以公布，并对不合格产品进行依法处理；配合承担国家、自治区产品质量监督抽查工作的质检机构完成对我盟产品质量监督抽查，产品质量风险监测工作。</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降低质量问题及质量管控风险点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通过提高汽柴油质量降低环境污染</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不断提升我盟产品质量合格率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促进产品质量的整体提升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车用尿素抽检批次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汽柴油抽检批次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工业产品质量监督检查次数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电线电缆抽检批次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车用尿素抽检成本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汽柴油抽检成本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电线电缆抽检成本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工业产品质量监督检查成本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工业产品质量监督检查的合格率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汽柴油抽检的</w:t>
            </w:r>
            <w:r>
              <w:rPr>
                <w:rFonts w:ascii="宋体" w:eastAsia="宋体" w:hAnsi="宋体" w:cs="宋体" w:hint="eastAsia"/>
                <w:color w:val="000000"/>
                <w:kern w:val="0"/>
                <w:sz w:val="16"/>
                <w:szCs w:val="16"/>
                <w:lang w:bidi="ar"/>
              </w:rPr>
              <w:lastRenderedPageBreak/>
              <w:t>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抽检的及时率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抽检的完成时限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蒙字标培育专项经费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目标1.加强“蒙”字标品牌打造，企业进行认证培育,助推我盟更多优势特色产业产品进入“蒙”认证行列。目标2.对“蒙”字标品牌进行培训，提高知名度。</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日常工作完成及时率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蒙字标宣传的完成时限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对企业进行认证培育成本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蒙字标培训成本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对企业进行认证培育所需天数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天</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蒙字标培训次数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对企业进行认证培育的达标率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蒙字标宣传覆盖率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提升蒙字标企业知名度带动经济发展</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有所提高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通过蒙字标企业提升地区知名度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有所提高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项目的可持续发展时限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长达一年</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蒙字标培育企业的满意度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药品安全监管及标准化建设经费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2024年开展药品安全专项整治行动，药化流通领域日常监督检查、专项检查、</w:t>
            </w:r>
            <w:r>
              <w:rPr>
                <w:rFonts w:ascii="宋体" w:eastAsia="宋体" w:hAnsi="宋体" w:cs="宋体" w:hint="eastAsia"/>
                <w:color w:val="000000"/>
                <w:kern w:val="0"/>
                <w:sz w:val="16"/>
                <w:szCs w:val="16"/>
                <w:lang w:bidi="ar"/>
              </w:rPr>
              <w:lastRenderedPageBreak/>
              <w:t>疫苗管、医疗机构药品质量监管以及药品安全知识的培训和宣传。</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药品安全专项整治行动及药品监管天数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天</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药品培</w:t>
            </w:r>
            <w:r>
              <w:rPr>
                <w:rFonts w:ascii="宋体" w:eastAsia="宋体" w:hAnsi="宋体" w:cs="宋体" w:hint="eastAsia"/>
                <w:color w:val="000000"/>
                <w:kern w:val="0"/>
                <w:sz w:val="16"/>
                <w:szCs w:val="16"/>
                <w:lang w:bidi="ar"/>
              </w:rPr>
              <w:lastRenderedPageBreak/>
              <w:t>训人数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w:t>
            </w:r>
            <w:r>
              <w:rPr>
                <w:rFonts w:ascii="宋体" w:eastAsia="宋体" w:hAnsi="宋体" w:cs="宋体" w:hint="eastAsia"/>
                <w:color w:val="000000"/>
                <w:kern w:val="0"/>
                <w:sz w:val="16"/>
                <w:szCs w:val="16"/>
                <w:lang w:bidi="ar"/>
              </w:rPr>
              <w:lastRenderedPageBreak/>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80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药品宣传次数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药品宣传</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药品培训</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药品安全专项整治行动及药品监管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宣传及时率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培训及时率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监督检查及时率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宣传率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培训率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监督检查率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减少市场的不安定因素</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督促企业合法合规经营减少资源浪费</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规范市场秩序促进社会秩序稳定</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净化药品市场提高经济效益</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民生计量器具免费检定及监督检查业务费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1.对锡市地区居民在用的血压计、体重秤、集贸市场在用计量器具以及社区、村级卫生室的在用医用计量器具实行免费检定；2.开展民生计量宣传及计量和标准化监督检查。</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促进节能</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减少缺斤少两现象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促进公平交易</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提高全社会诚信经营度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受益群众的满意度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计量宣传成本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计量和标准化督查检查成本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全年免费检定计量器具检查成本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督查检查工作完成及时率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检验计量器具时限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督查检查率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检验计量器具准确率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计量和标准化督查检查天数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天</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免费检验计量器具检查天数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天</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计量宣传次数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计量标准化项目和政府质量考核督查经费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该项目实施的主要目标包括：1.对锡盟地区法定计量机构和标准化项目考核、监督检查，对全盟计量器具进行监督检查；2.开展盟长质量考核工作；3.开展民生计量和标准化知识宣传活动。</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会议完成率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宣传完成率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培训完成率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开展民生计量和标准化知识宣传活动次数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全盟政府质量考核督查天数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天</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全盟计量及标准化机构检查考核天数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天</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开展业务培训人数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开展业务培训成本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开展民生计量和标准化知识宣传成本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全盟政</w:t>
            </w:r>
            <w:r>
              <w:rPr>
                <w:rFonts w:ascii="宋体" w:eastAsia="宋体" w:hAnsi="宋体" w:cs="宋体" w:hint="eastAsia"/>
                <w:color w:val="000000"/>
                <w:kern w:val="0"/>
                <w:sz w:val="16"/>
                <w:szCs w:val="16"/>
                <w:lang w:bidi="ar"/>
              </w:rPr>
              <w:lastRenderedPageBreak/>
              <w:t>府质量考核督查成本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w:t>
            </w:r>
            <w:r>
              <w:rPr>
                <w:rFonts w:ascii="宋体" w:eastAsia="宋体" w:hAnsi="宋体" w:cs="宋体" w:hint="eastAsia"/>
                <w:color w:val="000000"/>
                <w:kern w:val="0"/>
                <w:sz w:val="16"/>
                <w:szCs w:val="16"/>
                <w:lang w:bidi="ar"/>
              </w:rPr>
              <w:lastRenderedPageBreak/>
              <w:t>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全盟计量及标准化机构检查考核成本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培训活动完成时限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宣传活动完成时限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督查检查完成时限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该项目的可持续影响</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长达一年</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通过本项目可促进公平交易</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规范市场环境</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通过本项目可有效减少市场中缺斤少两现象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提高计量工具的准确性</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2024年创建国家食品安全示范城市工作资金</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221.30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2024年安排创建国家食品安全示范城市工作资金193.3万元，主要用于：目标1.开展创城宣传活动；目标2.开展创城食品抽检业务；目标3.开展创城验收及满意度调查工作。</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通过创建国家食品安全示范城市让我盟知名度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通过创建国家食品安全示范城市项目</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有效减少资源浪费</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创城项目持续发挥作用的期限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最少两年</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通过创建国家食品安全示范城市带动城市经济收益</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有所提高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擎天柱发布宣传画成本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满意度调查成本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创城验收成本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食品抽检成本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问卷宣传及微信宣传成本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展板制作等宣传成本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27.3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抖音公众号宣传成本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创建国家食品安全示范城市宣传及时性</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创建国家食品安全示范城市验收及时率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创建国家食品安全示范城市验收合格率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宣传抽检等业务的达标率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满意度调查</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创城验收次数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食品抽检批次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问卷宣传及微信宣传月数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个月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每周抖音公众号宣传</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擎天柱发布宣传画</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处</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展板制作等宣传</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全盟地方特色乳制品产业重</w:t>
            </w:r>
            <w:r>
              <w:rPr>
                <w:rFonts w:ascii="宋体" w:eastAsia="宋体" w:hAnsi="宋体" w:cs="宋体" w:hint="eastAsia"/>
                <w:color w:val="000000"/>
                <w:kern w:val="0"/>
                <w:sz w:val="16"/>
                <w:szCs w:val="16"/>
                <w:lang w:bidi="ar"/>
              </w:rPr>
              <w:lastRenderedPageBreak/>
              <w:t>点工作资金</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专项资金项目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140.00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根据锡林郭勒盟行署办公室关于印发《锡林郭</w:t>
            </w:r>
            <w:r>
              <w:rPr>
                <w:rFonts w:ascii="宋体" w:eastAsia="宋体" w:hAnsi="宋体" w:cs="宋体" w:hint="eastAsia"/>
                <w:color w:val="000000"/>
                <w:kern w:val="0"/>
                <w:sz w:val="16"/>
                <w:szCs w:val="16"/>
                <w:lang w:bidi="ar"/>
              </w:rPr>
              <w:lastRenderedPageBreak/>
              <w:t>勒盟地方特色乳制品产业发展2023年度工作方案》的通知（锡署办发〔2023〕45号）相关要求开展2024年全盟地方特色乳制品产业工作：我局主要承担乳制品检测业务和对地方特色乳制品生产企业进行认证培育。</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蒙字标培育企业完成时间</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地方特色检验检测完成时间</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乳制品检测成本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乳制品生产企业进行认证培育成本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蒙字标培育企业的完成率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地方特色检验检测的合格率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乳制品检测批次</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1200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批次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乳制品生产企业进行认证培育家数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家</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降低乳制品的不合格率保障食品安全</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提升乳制品资源利用率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规范乳制品行业健康发展</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提高当地乳制品合格率和知名度从而促进我盟经济发展</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消费者及奶制品企业的满意度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安全生产专项经费</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124001-锡林郭勒盟市场监督管理局</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部门预算项目</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15.00</w:t>
            </w:r>
          </w:p>
        </w:tc>
        <w:tc>
          <w:tcPr>
            <w:tcW w:w="5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针对自治区安全生产专项巡视提出我盟重点行业领域安全生产监管人员薄弱，行署召开专题会议部署，安排15万元用于安委会</w:t>
            </w:r>
            <w:r>
              <w:rPr>
                <w:rFonts w:ascii="宋体" w:eastAsia="宋体" w:hAnsi="宋体" w:cs="宋体" w:hint="eastAsia"/>
                <w:color w:val="000000"/>
                <w:kern w:val="0"/>
                <w:sz w:val="16"/>
                <w:szCs w:val="16"/>
                <w:lang w:bidi="ar"/>
              </w:rPr>
              <w:lastRenderedPageBreak/>
              <w:t>8个专委会牵头部门督导检查等相关检查费用。目标1.专项检查、督查差旅费7万元；目标2.检查督查专家费8万元。</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满意度指标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服务对象满意度</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人民群众的满意度</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效益指标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可持续影响</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通过安全生产专项督查可持续影响</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1年到2年</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通过安全生产</w:t>
            </w:r>
            <w:r>
              <w:rPr>
                <w:rFonts w:ascii="宋体" w:eastAsia="宋体" w:hAnsi="宋体" w:cs="宋体" w:hint="eastAsia"/>
                <w:color w:val="000000"/>
                <w:kern w:val="0"/>
                <w:sz w:val="16"/>
                <w:szCs w:val="16"/>
                <w:lang w:bidi="ar"/>
              </w:rPr>
              <w:lastRenderedPageBreak/>
              <w:t>专项督查保护人民群众生命安全</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有所提高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生态效益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通过安全生产专项督查有利于节约资源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有所提高</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经济效益</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通过安全生产专项督查减少安全事故发生率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定性</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提高经济效益</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产出指标</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数量指标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检查督查聘请专家次数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检查督查次数</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次</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成本指标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检查督查差旅成本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检查督查聘请专家成本</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万元</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时效指标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工作完成时限</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反向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月</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检查督查及时性</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质量指标</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检查督查聘请专家规范性</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r>
      <w:tr w:rsidR="00E1719B">
        <w:trPr>
          <w:trHeight w:val="23"/>
        </w:trPr>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5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left"/>
              <w:rPr>
                <w:rFonts w:ascii="宋体" w:eastAsia="宋体" w:hAnsi="宋体" w:cs="宋体"/>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检查督查合格率</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正向</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大于等于</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r>
      <w:tr w:rsidR="00E1719B">
        <w:trPr>
          <w:trHeight w:val="23"/>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合  计</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rPr>
                <w:rFonts w:ascii="宋体" w:eastAsia="宋体" w:hAnsi="宋体" w:cs="宋体"/>
                <w:b/>
                <w:bCs/>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3,136.68</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r>
      <w:tr w:rsidR="00E1719B">
        <w:trPr>
          <w:trHeight w:val="23"/>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口径说明：     取值为【项目库管理】-预算项目所填写绩效目标表。</w:t>
            </w:r>
          </w:p>
        </w:tc>
      </w:tr>
    </w:tbl>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p w:rsidR="00E1719B" w:rsidRDefault="00E1719B">
      <w:pPr>
        <w:pStyle w:val="2"/>
        <w:ind w:leftChars="0" w:left="0" w:firstLine="0"/>
        <w:rPr>
          <w:rFonts w:eastAsia="仿宋_GB2312" w:cstheme="minorBidi" w:hint="default"/>
          <w:sz w:val="21"/>
          <w:szCs w:val="21"/>
        </w:rPr>
      </w:pPr>
    </w:p>
    <w:tbl>
      <w:tblPr>
        <w:tblW w:w="5001" w:type="pct"/>
        <w:tblLayout w:type="fixed"/>
        <w:tblLook w:val="04A0" w:firstRow="1" w:lastRow="0" w:firstColumn="1" w:lastColumn="0" w:noHBand="0" w:noVBand="1"/>
      </w:tblPr>
      <w:tblGrid>
        <w:gridCol w:w="828"/>
        <w:gridCol w:w="916"/>
        <w:gridCol w:w="1066"/>
        <w:gridCol w:w="1006"/>
        <w:gridCol w:w="764"/>
        <w:gridCol w:w="674"/>
        <w:gridCol w:w="630"/>
        <w:gridCol w:w="630"/>
        <w:gridCol w:w="660"/>
        <w:gridCol w:w="630"/>
        <w:gridCol w:w="273"/>
        <w:gridCol w:w="315"/>
        <w:gridCol w:w="239"/>
        <w:gridCol w:w="269"/>
        <w:gridCol w:w="283"/>
        <w:gridCol w:w="239"/>
        <w:gridCol w:w="307"/>
        <w:gridCol w:w="239"/>
      </w:tblGrid>
      <w:tr w:rsidR="00E1719B">
        <w:trPr>
          <w:trHeight w:val="23"/>
        </w:trPr>
        <w:tc>
          <w:tcPr>
            <w:tcW w:w="874" w:type="pct"/>
            <w:gridSpan w:val="2"/>
            <w:tcBorders>
              <w:top w:val="nil"/>
              <w:left w:val="nil"/>
              <w:bottom w:val="nil"/>
              <w:right w:val="nil"/>
            </w:tcBorders>
            <w:shd w:val="clear" w:color="auto" w:fill="auto"/>
            <w:vAlign w:val="center"/>
          </w:tcPr>
          <w:p w:rsidR="00E1719B" w:rsidRDefault="008429D3">
            <w:pPr>
              <w:rPr>
                <w:rFonts w:ascii="宋体" w:eastAsia="宋体" w:hAnsi="宋体" w:cs="宋体"/>
                <w:color w:val="000000"/>
                <w:sz w:val="22"/>
                <w:szCs w:val="22"/>
              </w:rPr>
            </w:pPr>
            <w:r>
              <w:rPr>
                <w:rFonts w:ascii="宋体" w:eastAsia="宋体" w:hAnsi="宋体" w:cs="宋体" w:hint="eastAsia"/>
                <w:color w:val="000000"/>
                <w:kern w:val="0"/>
                <w:sz w:val="22"/>
                <w:szCs w:val="22"/>
                <w:lang w:bidi="ar"/>
              </w:rPr>
              <w:t>表12</w:t>
            </w:r>
          </w:p>
        </w:tc>
        <w:tc>
          <w:tcPr>
            <w:tcW w:w="534"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504" w:type="pct"/>
            <w:tcBorders>
              <w:top w:val="nil"/>
              <w:left w:val="nil"/>
              <w:bottom w:val="nil"/>
              <w:right w:val="nil"/>
            </w:tcBorders>
            <w:shd w:val="clear" w:color="auto" w:fill="auto"/>
            <w:noWrap/>
            <w:vAlign w:val="center"/>
          </w:tcPr>
          <w:p w:rsidR="00E1719B" w:rsidRDefault="00E1719B">
            <w:pPr>
              <w:rPr>
                <w:rFonts w:ascii="宋体" w:eastAsia="宋体" w:hAnsi="宋体" w:cs="宋体"/>
                <w:color w:val="000000"/>
                <w:sz w:val="22"/>
                <w:szCs w:val="22"/>
              </w:rPr>
            </w:pPr>
          </w:p>
        </w:tc>
        <w:tc>
          <w:tcPr>
            <w:tcW w:w="383"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38"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1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1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31"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16"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35"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58"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2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35"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42"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2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54"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18" w:type="pct"/>
            <w:tcBorders>
              <w:top w:val="nil"/>
              <w:left w:val="nil"/>
              <w:bottom w:val="nil"/>
              <w:right w:val="nil"/>
            </w:tcBorders>
            <w:shd w:val="clear" w:color="auto" w:fill="auto"/>
            <w:vAlign w:val="center"/>
          </w:tcPr>
          <w:p w:rsidR="00E1719B" w:rsidRDefault="00E1719B">
            <w:pPr>
              <w:widowControl/>
              <w:jc w:val="left"/>
              <w:textAlignment w:val="center"/>
              <w:rPr>
                <w:rFonts w:ascii="宋体" w:eastAsia="宋体" w:hAnsi="宋体" w:cs="宋体"/>
                <w:color w:val="000000"/>
                <w:sz w:val="22"/>
                <w:szCs w:val="22"/>
              </w:rPr>
            </w:pPr>
          </w:p>
        </w:tc>
      </w:tr>
      <w:tr w:rsidR="00E1719B">
        <w:trPr>
          <w:trHeight w:val="23"/>
        </w:trPr>
        <w:tc>
          <w:tcPr>
            <w:tcW w:w="4998" w:type="pct"/>
            <w:gridSpan w:val="18"/>
            <w:tcBorders>
              <w:top w:val="nil"/>
              <w:left w:val="nil"/>
              <w:bottom w:val="nil"/>
              <w:right w:val="nil"/>
            </w:tcBorders>
            <w:shd w:val="clear" w:color="auto" w:fill="auto"/>
            <w:vAlign w:val="center"/>
          </w:tcPr>
          <w:p w:rsidR="00E1719B" w:rsidRDefault="008429D3">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政府采购预算表</w:t>
            </w:r>
          </w:p>
        </w:tc>
      </w:tr>
      <w:tr w:rsidR="00E1719B">
        <w:trPr>
          <w:trHeight w:val="23"/>
        </w:trPr>
        <w:tc>
          <w:tcPr>
            <w:tcW w:w="4049" w:type="pct"/>
            <w:gridSpan w:val="11"/>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58"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20"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35"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142" w:type="pct"/>
            <w:tcBorders>
              <w:top w:val="nil"/>
              <w:left w:val="nil"/>
              <w:bottom w:val="nil"/>
              <w:right w:val="nil"/>
            </w:tcBorders>
            <w:shd w:val="clear" w:color="auto" w:fill="auto"/>
            <w:vAlign w:val="center"/>
          </w:tcPr>
          <w:p w:rsidR="00E1719B" w:rsidRDefault="00E1719B">
            <w:pPr>
              <w:rPr>
                <w:rFonts w:ascii="宋体" w:eastAsia="宋体" w:hAnsi="宋体" w:cs="宋体"/>
                <w:color w:val="000000"/>
                <w:sz w:val="22"/>
                <w:szCs w:val="22"/>
              </w:rPr>
            </w:pPr>
          </w:p>
        </w:tc>
        <w:tc>
          <w:tcPr>
            <w:tcW w:w="392" w:type="pct"/>
            <w:gridSpan w:val="3"/>
            <w:tcBorders>
              <w:top w:val="nil"/>
              <w:left w:val="nil"/>
              <w:bottom w:val="nil"/>
              <w:right w:val="nil"/>
            </w:tcBorders>
            <w:shd w:val="clear" w:color="auto" w:fill="auto"/>
            <w:vAlign w:val="center"/>
          </w:tcPr>
          <w:p w:rsidR="00E1719B" w:rsidRDefault="008429D3">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w:t>
            </w:r>
            <w:r>
              <w:rPr>
                <w:rFonts w:ascii="宋体" w:eastAsia="宋体" w:hAnsi="宋体" w:cs="宋体"/>
                <w:color w:val="000000"/>
                <w:kern w:val="0"/>
                <w:sz w:val="22"/>
                <w:szCs w:val="22"/>
                <w:lang w:bidi="ar"/>
              </w:rPr>
              <w:lastRenderedPageBreak/>
              <w:t>元</w:t>
            </w:r>
          </w:p>
        </w:tc>
      </w:tr>
      <w:tr w:rsidR="00E1719B">
        <w:trPr>
          <w:trHeight w:val="23"/>
        </w:trPr>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lastRenderedPageBreak/>
              <w:t>部门（单位）代码</w:t>
            </w:r>
          </w:p>
        </w:tc>
        <w:tc>
          <w:tcPr>
            <w:tcW w:w="4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部门（单位）名称</w:t>
            </w:r>
          </w:p>
        </w:tc>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项目名称</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采购品目编码</w:t>
            </w:r>
          </w:p>
        </w:tc>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采购品目</w:t>
            </w:r>
          </w:p>
        </w:tc>
        <w:tc>
          <w:tcPr>
            <w:tcW w:w="9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申报情况</w:t>
            </w:r>
          </w:p>
        </w:tc>
        <w:tc>
          <w:tcPr>
            <w:tcW w:w="173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资金性质</w:t>
            </w:r>
          </w:p>
        </w:tc>
      </w:tr>
      <w:tr w:rsidR="00E1719B">
        <w:trPr>
          <w:trHeight w:val="23"/>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4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申请数量</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单价(元)</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金额(元)</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合计</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一般公共预算</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政府性基金预算</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国有资本经营预算</w:t>
            </w: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财政专户管理资金</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事业收入</w:t>
            </w: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事业单位经营收入</w:t>
            </w: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上级补助收入</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附属单位上缴收入</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其他收入</w:t>
            </w: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2024年创建国家食品安全示范城市工作资金</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A07100300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纸制品</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C18040102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财产保险服务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车辆维修和保养服务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车辆加油、添加燃料服务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250,000.00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25.00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民生计量器具免费检定及监督检查业务费</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物业运维</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C21040000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物业管理服务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295,200.00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295,200.00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29.52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29.52</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特种设备安全监察</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知识产权工作业务费</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药品安全监管及标准化建设经费</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计量标准化项目和政府质量考核督查经费</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color w:val="000000"/>
                <w:sz w:val="16"/>
                <w:szCs w:val="16"/>
              </w:rPr>
            </w:pPr>
          </w:p>
        </w:tc>
      </w:tr>
      <w:tr w:rsidR="00E1719B">
        <w:trPr>
          <w:trHeight w:val="23"/>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合  计</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80104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center"/>
              <w:rPr>
                <w:rFonts w:ascii="宋体" w:eastAsia="宋体" w:hAnsi="宋体" w:cs="宋体"/>
                <w:b/>
                <w:bCs/>
                <w:color w:val="000000"/>
                <w:sz w:val="16"/>
                <w:szCs w:val="16"/>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895,200.00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89.52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89.52</w:t>
            </w: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E1719B">
            <w:pPr>
              <w:jc w:val="right"/>
              <w:rPr>
                <w:rFonts w:ascii="宋体" w:eastAsia="宋体" w:hAnsi="宋体" w:cs="宋体"/>
                <w:b/>
                <w:bCs/>
                <w:color w:val="000000"/>
                <w:sz w:val="16"/>
                <w:szCs w:val="16"/>
              </w:rPr>
            </w:pPr>
          </w:p>
        </w:tc>
      </w:tr>
      <w:tr w:rsidR="00E1719B">
        <w:trPr>
          <w:trHeight w:val="23"/>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E1719B" w:rsidRDefault="008429D3">
            <w:pPr>
              <w:widowControl/>
              <w:jc w:val="left"/>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口径说明：     取值口径为部门预算编制二上细化【支出预算表】-【政府采购预算汇总表】</w:t>
            </w:r>
          </w:p>
        </w:tc>
      </w:tr>
    </w:tbl>
    <w:p w:rsidR="00E1719B" w:rsidRDefault="00E1719B">
      <w:pPr>
        <w:pStyle w:val="2"/>
        <w:ind w:leftChars="0" w:left="0" w:firstLine="0"/>
        <w:rPr>
          <w:rFonts w:eastAsia="仿宋_GB2312" w:cstheme="minorBidi" w:hint="default"/>
          <w:sz w:val="16"/>
          <w:szCs w:val="16"/>
        </w:rPr>
      </w:pPr>
    </w:p>
    <w:sectPr w:rsidR="00E1719B">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C75" w:rsidRDefault="002A2C75">
      <w:r>
        <w:separator/>
      </w:r>
    </w:p>
  </w:endnote>
  <w:endnote w:type="continuationSeparator" w:id="0">
    <w:p w:rsidR="002A2C75" w:rsidRDefault="002A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decorative"/>
    <w:pitch w:val="default"/>
    <w:sig w:usb0="00000001" w:usb1="080E0000" w:usb2="00000000" w:usb3="00000000" w:csb0="00040000" w:csb1="00000000"/>
    <w:embedRegular r:id="rId1" w:fontKey="{7A193CCC-6021-4112-BD11-C637FB9138B2}"/>
    <w:embedBold r:id="rId2" w:subsetted="1" w:fontKey="{75AA6798-8D29-4A3B-802C-96029C312E89}"/>
  </w:font>
  <w:font w:name="等线">
    <w:panose1 w:val="02010600030101010101"/>
    <w:charset w:val="86"/>
    <w:family w:val="auto"/>
    <w:pitch w:val="variable"/>
    <w:sig w:usb0="A00002BF" w:usb1="38CF7CFA" w:usb2="00000016" w:usb3="00000000" w:csb0="0004000F" w:csb1="00000000"/>
    <w:embedRegular r:id="rId3" w:subsetted="1" w:fontKey="{167B22D6-9E82-4570-8A31-51E7823847D5}"/>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embedRegular r:id="rId4" w:subsetted="1" w:fontKey="{0D73BE2C-74FC-4836-9406-A1D044D49B26}"/>
  </w:font>
  <w:font w:name="黑体">
    <w:altName w:val="SimHei"/>
    <w:panose1 w:val="02010609060101010101"/>
    <w:charset w:val="86"/>
    <w:family w:val="modern"/>
    <w:pitch w:val="fixed"/>
    <w:sig w:usb0="800002BF" w:usb1="38CF7CFA" w:usb2="00000016" w:usb3="00000000" w:csb0="00040001" w:csb1="00000000"/>
    <w:embedRegular r:id="rId5" w:subsetted="1" w:fontKey="{BE447C9C-B31B-44E5-8ED8-3646A4E7AF16}"/>
  </w:font>
  <w:font w:name="方正小标宋简体">
    <w:charset w:val="86"/>
    <w:family w:val="script"/>
    <w:pitch w:val="default"/>
    <w:sig w:usb0="00000001" w:usb1="080E0000" w:usb2="00000000" w:usb3="00000000" w:csb0="00040000" w:csb1="00000000"/>
    <w:embedRegular r:id="rId6" w:subsetted="1" w:fontKey="{D8EDABBC-373E-47BB-A696-C8AB21AD3323}"/>
  </w:font>
  <w:font w:name="仿宋">
    <w:panose1 w:val="02010609060101010101"/>
    <w:charset w:val="86"/>
    <w:family w:val="modern"/>
    <w:pitch w:val="fixed"/>
    <w:sig w:usb0="800002BF" w:usb1="38CF7CFA" w:usb2="00000016" w:usb3="00000000" w:csb0="00040001" w:csb1="00000000"/>
    <w:embedRegular r:id="rId7" w:subsetted="1" w:fontKey="{1C869713-E88E-4DC2-B5B3-84DAE1D6C9EC}"/>
  </w:font>
  <w:font w:name="楷体_GB2312">
    <w:altName w:val="楷体"/>
    <w:charset w:val="86"/>
    <w:family w:val="auto"/>
    <w:pitch w:val="default"/>
    <w:sig w:usb0="00000000" w:usb1="00000000" w:usb2="00000000" w:usb3="00000000" w:csb0="00040000" w:csb1="00000000"/>
    <w:embedBold r:id="rId8" w:subsetted="1" w:fontKey="{4170007B-F526-4987-B060-A6470BF5F428}"/>
  </w:font>
  <w:font w:name="微软雅黑">
    <w:panose1 w:val="020B0503020204020204"/>
    <w:charset w:val="86"/>
    <w:family w:val="swiss"/>
    <w:pitch w:val="variable"/>
    <w:sig w:usb0="80000287" w:usb1="2ACF3C50" w:usb2="00000016" w:usb3="00000000" w:csb0="0004001F" w:csb1="00000000"/>
    <w:embedRegular r:id="rId9" w:subsetted="1" w:fontKey="{CF288EAC-E5D9-49CB-8B43-BEC49033B842}"/>
  </w:font>
  <w:font w:name="楷体">
    <w:panose1 w:val="02010609060101010101"/>
    <w:charset w:val="86"/>
    <w:family w:val="modern"/>
    <w:pitch w:val="fixed"/>
    <w:sig w:usb0="800002BF" w:usb1="38CF7CFA" w:usb2="00000016" w:usb3="00000000" w:csb0="00040001" w:csb1="00000000"/>
    <w:embedBold r:id="rId10" w:subsetted="1" w:fontKey="{1C38B935-4296-4A1B-BE74-204BC640E19A}"/>
  </w:font>
  <w:font w:name="Hiragino Sans GB">
    <w:altName w:val="Segoe Print"/>
    <w:charset w:val="00"/>
    <w:family w:val="auto"/>
    <w:pitch w:val="default"/>
    <w:embedRegular r:id="rId11" w:subsetted="1" w:fontKey="{D2666BDE-479C-46E7-BB26-406C48C997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9B" w:rsidRDefault="008429D3">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719B" w:rsidRDefault="008429D3">
                          <w:pPr>
                            <w:pStyle w:val="a8"/>
                          </w:pPr>
                          <w:r>
                            <w:fldChar w:fldCharType="begin"/>
                          </w:r>
                          <w:r>
                            <w:instrText xml:space="preserve"> PAGE  \* MERGEFORMAT </w:instrText>
                          </w:r>
                          <w:r>
                            <w:fldChar w:fldCharType="separate"/>
                          </w:r>
                          <w:r w:rsidR="0075660C">
                            <w:rPr>
                              <w:noProof/>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E1719B" w:rsidRDefault="008429D3">
                    <w:pPr>
                      <w:pStyle w:val="a8"/>
                    </w:pPr>
                    <w:r>
                      <w:fldChar w:fldCharType="begin"/>
                    </w:r>
                    <w:r>
                      <w:instrText xml:space="preserve"> PAGE  \* MERGEFORMAT </w:instrText>
                    </w:r>
                    <w:r>
                      <w:fldChar w:fldCharType="separate"/>
                    </w:r>
                    <w:r w:rsidR="0075660C">
                      <w:rPr>
                        <w:noProof/>
                      </w:rPr>
                      <w:t>- 14 -</w:t>
                    </w:r>
                    <w:r>
                      <w:fldChar w:fldCharType="end"/>
                    </w:r>
                  </w:p>
                </w:txbxContent>
              </v:textbox>
              <w10:wrap anchorx="margin"/>
            </v:shape>
          </w:pict>
        </mc:Fallback>
      </mc:AlternateContent>
    </w:r>
  </w:p>
  <w:p w:rsidR="00E1719B" w:rsidRDefault="00E171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C75" w:rsidRDefault="002A2C75">
      <w:r>
        <w:separator/>
      </w:r>
    </w:p>
  </w:footnote>
  <w:footnote w:type="continuationSeparator" w:id="0">
    <w:p w:rsidR="002A2C75" w:rsidRDefault="002A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9B" w:rsidRDefault="00E1719B">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E7FFBF"/>
    <w:multiLevelType w:val="singleLevel"/>
    <w:tmpl w:val="DCE7FFBF"/>
    <w:lvl w:ilvl="0">
      <w:start w:val="5"/>
      <w:numFmt w:val="chineseCounting"/>
      <w:suff w:val="space"/>
      <w:lvlText w:val="第%1部分"/>
      <w:lvlJc w:val="left"/>
      <w:rPr>
        <w:rFonts w:hint="eastAsia"/>
      </w:rPr>
    </w:lvl>
  </w:abstractNum>
  <w:abstractNum w:abstractNumId="1">
    <w:nsid w:val="3265B7C3"/>
    <w:multiLevelType w:val="singleLevel"/>
    <w:tmpl w:val="3265B7C3"/>
    <w:lvl w:ilvl="0">
      <w:start w:val="1"/>
      <w:numFmt w:val="chineseCounting"/>
      <w:suff w:val="nothing"/>
      <w:lvlText w:val="%1、"/>
      <w:lvlJc w:val="left"/>
      <w:rPr>
        <w:rFonts w:hint="eastAsia"/>
      </w:rPr>
    </w:lvl>
  </w:abstractNum>
  <w:abstractNum w:abstractNumId="2">
    <w:nsid w:val="4EC74364"/>
    <w:multiLevelType w:val="singleLevel"/>
    <w:tmpl w:val="4EC74364"/>
    <w:lvl w:ilvl="0">
      <w:start w:val="1"/>
      <w:numFmt w:val="chineseCounting"/>
      <w:suff w:val="nothing"/>
      <w:lvlText w:val="%1、"/>
      <w:lvlJc w:val="left"/>
      <w:rPr>
        <w:rFonts w:hint="eastAsia"/>
      </w:rPr>
    </w:lvl>
  </w:abstractNum>
  <w:abstractNum w:abstractNumId="3">
    <w:nsid w:val="72CFC3EB"/>
    <w:multiLevelType w:val="singleLevel"/>
    <w:tmpl w:val="72CFC3EB"/>
    <w:lvl w:ilvl="0">
      <w:start w:val="1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YmRlMDJkZGE2ZDMwMjdhMjU4ZDUxNzhhYzE0Y2EifQ=="/>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2C75"/>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5660C"/>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29D3"/>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2253"/>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1719B"/>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8DF474E"/>
    <w:rsid w:val="09C92DD3"/>
    <w:rsid w:val="09CF6E4B"/>
    <w:rsid w:val="0B6B045B"/>
    <w:rsid w:val="0BD554C2"/>
    <w:rsid w:val="0C216E2C"/>
    <w:rsid w:val="0E7B4525"/>
    <w:rsid w:val="0FB513D3"/>
    <w:rsid w:val="10767327"/>
    <w:rsid w:val="11304CEB"/>
    <w:rsid w:val="11AF4DCB"/>
    <w:rsid w:val="12955111"/>
    <w:rsid w:val="12C86253"/>
    <w:rsid w:val="12CC6E6D"/>
    <w:rsid w:val="13806E42"/>
    <w:rsid w:val="13A607E7"/>
    <w:rsid w:val="13F41DC8"/>
    <w:rsid w:val="140E7482"/>
    <w:rsid w:val="1440520B"/>
    <w:rsid w:val="14737EE6"/>
    <w:rsid w:val="17BC5001"/>
    <w:rsid w:val="183A0A1F"/>
    <w:rsid w:val="198C1D89"/>
    <w:rsid w:val="1B570174"/>
    <w:rsid w:val="1B74013C"/>
    <w:rsid w:val="1BA62EAA"/>
    <w:rsid w:val="1CFA34AD"/>
    <w:rsid w:val="1D9C27B6"/>
    <w:rsid w:val="1E0D2BED"/>
    <w:rsid w:val="1E591AD6"/>
    <w:rsid w:val="1F14499E"/>
    <w:rsid w:val="1F5B26C7"/>
    <w:rsid w:val="1FB73B17"/>
    <w:rsid w:val="203A4DF7"/>
    <w:rsid w:val="224109E7"/>
    <w:rsid w:val="22A144DF"/>
    <w:rsid w:val="22D12F02"/>
    <w:rsid w:val="22EB689E"/>
    <w:rsid w:val="2472310C"/>
    <w:rsid w:val="249C2E00"/>
    <w:rsid w:val="26CE5027"/>
    <w:rsid w:val="26E27F2F"/>
    <w:rsid w:val="275E288B"/>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BB7B3D"/>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D665E71"/>
    <w:rsid w:val="4E922C96"/>
    <w:rsid w:val="4FA56487"/>
    <w:rsid w:val="4FC44EDC"/>
    <w:rsid w:val="50997532"/>
    <w:rsid w:val="51296E07"/>
    <w:rsid w:val="52C12FB4"/>
    <w:rsid w:val="53097B05"/>
    <w:rsid w:val="535B5D4C"/>
    <w:rsid w:val="53866EE0"/>
    <w:rsid w:val="538F587F"/>
    <w:rsid w:val="541A1764"/>
    <w:rsid w:val="544E2FF3"/>
    <w:rsid w:val="551E7F0E"/>
    <w:rsid w:val="55B95F2B"/>
    <w:rsid w:val="55D63612"/>
    <w:rsid w:val="55D9538F"/>
    <w:rsid w:val="56B137E7"/>
    <w:rsid w:val="57CA68AA"/>
    <w:rsid w:val="59654F1B"/>
    <w:rsid w:val="5A650D5A"/>
    <w:rsid w:val="5A8E6B50"/>
    <w:rsid w:val="5B526E3B"/>
    <w:rsid w:val="5D176670"/>
    <w:rsid w:val="5DBA5079"/>
    <w:rsid w:val="5EBC54FC"/>
    <w:rsid w:val="5EFB5FCF"/>
    <w:rsid w:val="60976762"/>
    <w:rsid w:val="615674ED"/>
    <w:rsid w:val="61744EA1"/>
    <w:rsid w:val="62C7450D"/>
    <w:rsid w:val="62C76F5B"/>
    <w:rsid w:val="637048DB"/>
    <w:rsid w:val="6484382A"/>
    <w:rsid w:val="64AA146F"/>
    <w:rsid w:val="65335497"/>
    <w:rsid w:val="65D76172"/>
    <w:rsid w:val="65EB3645"/>
    <w:rsid w:val="66C77325"/>
    <w:rsid w:val="67F307F2"/>
    <w:rsid w:val="68931D4F"/>
    <w:rsid w:val="68C6406F"/>
    <w:rsid w:val="6A1638AD"/>
    <w:rsid w:val="6B4551DF"/>
    <w:rsid w:val="6B9E2823"/>
    <w:rsid w:val="6BD958EF"/>
    <w:rsid w:val="6C7B77BD"/>
    <w:rsid w:val="6C992C34"/>
    <w:rsid w:val="6CA95923"/>
    <w:rsid w:val="6D756958"/>
    <w:rsid w:val="6DC615E8"/>
    <w:rsid w:val="6FB865A9"/>
    <w:rsid w:val="718B3849"/>
    <w:rsid w:val="73656E86"/>
    <w:rsid w:val="7377015A"/>
    <w:rsid w:val="739D2BFF"/>
    <w:rsid w:val="75A01A91"/>
    <w:rsid w:val="75A62E64"/>
    <w:rsid w:val="75BB53FD"/>
    <w:rsid w:val="75E96582"/>
    <w:rsid w:val="761146D7"/>
    <w:rsid w:val="76470CAA"/>
    <w:rsid w:val="764D1082"/>
    <w:rsid w:val="766F2799"/>
    <w:rsid w:val="773B6256"/>
    <w:rsid w:val="77CF1A71"/>
    <w:rsid w:val="783E1615"/>
    <w:rsid w:val="7941257D"/>
    <w:rsid w:val="7BC1532A"/>
    <w:rsid w:val="7BF3685D"/>
    <w:rsid w:val="7D07233B"/>
    <w:rsid w:val="7D40391F"/>
    <w:rsid w:val="7D603DDC"/>
    <w:rsid w:val="7DF96BCA"/>
    <w:rsid w:val="7E1251F4"/>
    <w:rsid w:val="7E6416AA"/>
    <w:rsid w:val="7E933D3D"/>
    <w:rsid w:val="7EE66F59"/>
    <w:rsid w:val="7F1A6E76"/>
    <w:rsid w:val="7F1F783D"/>
    <w:rsid w:val="7F8F6BFA"/>
    <w:rsid w:val="7FAF396D"/>
    <w:rsid w:val="7FEA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D85D047-BE5D-4B75-B43C-4C35A42E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eastAsia="Courier New"/>
      <w:kern w:val="2"/>
      <w:sz w:val="21"/>
      <w:szCs w:val="21"/>
    </w:rPr>
  </w:style>
  <w:style w:type="paragraph" w:styleId="1">
    <w:name w:val="heading 1"/>
    <w:basedOn w:val="a"/>
    <w:next w:val="a"/>
    <w:autoRedefine/>
    <w:uiPriority w:val="1"/>
    <w:qFormat/>
    <w:pPr>
      <w:keepNext/>
      <w:keepLines/>
      <w:spacing w:before="340" w:after="330" w:line="576" w:lineRule="auto"/>
      <w:outlineLvl w:val="0"/>
    </w:pPr>
    <w:rPr>
      <w:b/>
      <w:kern w:val="44"/>
      <w:sz w:val="44"/>
    </w:rPr>
  </w:style>
  <w:style w:type="paragraph" w:styleId="20">
    <w:name w:val="heading 2"/>
    <w:basedOn w:val="a"/>
    <w:next w:val="a"/>
    <w:link w:val="2Char"/>
    <w:autoRedefine/>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autoRedefine/>
    <w:uiPriority w:val="1"/>
    <w:unhideWhenUsed/>
    <w:qFormat/>
    <w:pPr>
      <w:keepNext/>
      <w:keepLines/>
      <w:spacing w:before="260" w:after="260" w:line="413" w:lineRule="auto"/>
      <w:outlineLvl w:val="2"/>
    </w:pPr>
    <w:rPr>
      <w:b/>
      <w:sz w:val="32"/>
    </w:rPr>
  </w:style>
  <w:style w:type="paragraph" w:styleId="4">
    <w:name w:val="heading 4"/>
    <w:basedOn w:val="a"/>
    <w:next w:val="a"/>
    <w:link w:val="4Char"/>
    <w:autoRedefine/>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autoRedefine/>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autoRedefine/>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autoRedefine/>
    <w:uiPriority w:val="99"/>
    <w:unhideWhenUsed/>
    <w:qFormat/>
    <w:rPr>
      <w:b/>
      <w:bCs/>
    </w:rPr>
  </w:style>
  <w:style w:type="table" w:styleId="ac">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qFormat/>
    <w:rPr>
      <w:b/>
    </w:rPr>
  </w:style>
  <w:style w:type="character" w:styleId="ae">
    <w:name w:val="Emphasis"/>
    <w:basedOn w:val="a0"/>
    <w:autoRedefine/>
    <w:qFormat/>
    <w:rPr>
      <w:i/>
    </w:rPr>
  </w:style>
  <w:style w:type="character" w:styleId="af">
    <w:name w:val="Hyperlink"/>
    <w:basedOn w:val="a0"/>
    <w:autoRedefine/>
    <w:uiPriority w:val="99"/>
    <w:unhideWhenUsed/>
    <w:qFormat/>
    <w:rPr>
      <w:color w:val="0563C1" w:themeColor="hyperlink"/>
      <w:u w:val="single"/>
    </w:rPr>
  </w:style>
  <w:style w:type="character" w:styleId="af0">
    <w:name w:val="annotation reference"/>
    <w:basedOn w:val="a0"/>
    <w:autoRedefine/>
    <w:uiPriority w:val="99"/>
    <w:unhideWhenUsed/>
    <w:qFormat/>
    <w:rPr>
      <w:sz w:val="21"/>
      <w:szCs w:val="21"/>
    </w:rPr>
  </w:style>
  <w:style w:type="character" w:customStyle="1" w:styleId="Char3">
    <w:name w:val="页眉 Char"/>
    <w:basedOn w:val="a0"/>
    <w:link w:val="a9"/>
    <w:autoRedefine/>
    <w:uiPriority w:val="99"/>
    <w:qFormat/>
    <w:rPr>
      <w:sz w:val="18"/>
      <w:szCs w:val="18"/>
    </w:rPr>
  </w:style>
  <w:style w:type="character" w:customStyle="1" w:styleId="Char2">
    <w:name w:val="页脚 Char"/>
    <w:basedOn w:val="a0"/>
    <w:link w:val="a8"/>
    <w:autoRedefine/>
    <w:uiPriority w:val="99"/>
    <w:qFormat/>
    <w:rPr>
      <w:sz w:val="18"/>
      <w:szCs w:val="18"/>
    </w:rPr>
  </w:style>
  <w:style w:type="character" w:customStyle="1" w:styleId="Char0">
    <w:name w:val="批注文字 Char"/>
    <w:basedOn w:val="a0"/>
    <w:link w:val="a6"/>
    <w:autoRedefine/>
    <w:uiPriority w:val="99"/>
    <w:qFormat/>
    <w:rPr>
      <w:rFonts w:ascii="Times New Roman" w:eastAsia="Courier New" w:hAnsi="Times New Roman" w:cs="Times New Roman"/>
      <w:szCs w:val="21"/>
    </w:rPr>
  </w:style>
  <w:style w:type="character" w:customStyle="1" w:styleId="Char5">
    <w:name w:val="批注主题 Char"/>
    <w:basedOn w:val="Char0"/>
    <w:link w:val="ab"/>
    <w:autoRedefine/>
    <w:uiPriority w:val="99"/>
    <w:semiHidden/>
    <w:qFormat/>
    <w:rPr>
      <w:rFonts w:ascii="Times New Roman" w:eastAsia="Courier New" w:hAnsi="Times New Roman" w:cs="Times New Roman"/>
      <w:b/>
      <w:bCs/>
      <w:szCs w:val="21"/>
    </w:rPr>
  </w:style>
  <w:style w:type="paragraph" w:customStyle="1" w:styleId="af1">
    <w:name w:val="独立格式"/>
    <w:basedOn w:val="aa"/>
    <w:autoRedefine/>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autoRedefine/>
    <w:uiPriority w:val="11"/>
    <w:qFormat/>
    <w:rPr>
      <w:b/>
      <w:bCs/>
      <w:kern w:val="28"/>
      <w:sz w:val="32"/>
      <w:szCs w:val="32"/>
    </w:rPr>
  </w:style>
  <w:style w:type="character" w:customStyle="1" w:styleId="2Char">
    <w:name w:val="标题 2 Char"/>
    <w:basedOn w:val="a0"/>
    <w:link w:val="20"/>
    <w:autoRedefine/>
    <w:uiPriority w:val="9"/>
    <w:qFormat/>
    <w:rPr>
      <w:rFonts w:ascii="Arial" w:eastAsia="Symbol" w:hAnsi="Arial" w:cs="Times New Roman"/>
      <w:b/>
      <w:bCs/>
      <w:sz w:val="32"/>
      <w:szCs w:val="32"/>
    </w:rPr>
  </w:style>
  <w:style w:type="paragraph" w:customStyle="1" w:styleId="af2">
    <w:name w:val="表格名称"/>
    <w:basedOn w:val="a"/>
    <w:qFormat/>
    <w:pPr>
      <w:spacing w:line="360" w:lineRule="auto"/>
      <w:jc w:val="center"/>
    </w:pPr>
    <w:rPr>
      <w:rFonts w:eastAsia="Helv" w:cs="New York"/>
      <w:b/>
      <w:sz w:val="24"/>
      <w:szCs w:val="24"/>
    </w:rPr>
  </w:style>
  <w:style w:type="paragraph" w:customStyle="1" w:styleId="af3">
    <w:name w:val="表格文字"/>
    <w:basedOn w:val="af1"/>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autoRedefine/>
    <w:uiPriority w:val="99"/>
    <w:semiHidden/>
    <w:qFormat/>
    <w:rPr>
      <w:rFonts w:ascii="Times New Roman" w:eastAsia="Courier New" w:hAnsi="Times New Roman" w:cs="Times New Roman"/>
      <w:szCs w:val="21"/>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autoRedefine/>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autoRedefine/>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autoRedefine/>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本年收入</c:v>
                </c:pt>
                <c:pt idx="1">
                  <c:v>上年结转结余</c:v>
                </c:pt>
              </c:strCache>
            </c:strRef>
          </c:cat>
          <c:val>
            <c:numRef>
              <c:f>Sheet1!$B$2:$B$3</c:f>
              <c:numCache>
                <c:formatCode>General</c:formatCode>
                <c:ptCount val="2"/>
                <c:pt idx="0">
                  <c:v>3136.68</c:v>
                </c:pt>
                <c:pt idx="1">
                  <c:v>537.1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92511891974801"/>
          <c:y val="0.201511335012594"/>
          <c:w val="0.53045880006137802"/>
          <c:h val="0.7916189603847030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2547.38</c:v>
                </c:pt>
                <c:pt idx="1">
                  <c:v>1126.4000000000001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7388</Words>
  <Characters>42118</Characters>
  <Application>Microsoft Office Word</Application>
  <DocSecurity>0</DocSecurity>
  <Lines>350</Lines>
  <Paragraphs>98</Paragraphs>
  <ScaleCrop>false</ScaleCrop>
  <Company/>
  <LinksUpToDate>false</LinksUpToDate>
  <CharactersWithSpaces>49408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Administrator</cp:lastModifiedBy>
  <cp:revision>4</cp:revision>
  <cp:lastPrinted>2022-09-03T08:20:00Z</cp:lastPrinted>
  <dcterms:created xsi:type="dcterms:W3CDTF">2022-09-07T01:41:00Z</dcterms:created>
  <dcterms:modified xsi:type="dcterms:W3CDTF">2024-04-02T01:53:00Z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0E35CCE69AC44ED389CD2242D4F819F7_13</vt:lpwstr>
  </property>
  <property fmtid="{D5CDD505-2E9C-101B-9397-08002B2CF9AE}" pid="4" name="commondata">
    <vt:lpwstr>eyJoZGlkIjoiMDUyZTZiOWNhNTRkM2JiNDQwZWRmZDZjZTIwNDhiY2IifQ==</vt:lpwstr>
  </property>
</Properties>
</file>