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B6085">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食品安全风险管控清单</w:t>
      </w:r>
    </w:p>
    <w:p w14:paraId="02E5F777">
      <w:pPr>
        <w:jc w:val="center"/>
        <w:rPr>
          <w:rFonts w:ascii="方正黑体_GBK" w:hAnsi="方正黑体_GBK" w:eastAsia="方正黑体_GBK" w:cs="方正黑体_GBK"/>
          <w:sz w:val="32"/>
          <w:szCs w:val="32"/>
        </w:rPr>
      </w:pPr>
    </w:p>
    <w:p w14:paraId="0F7A6FE4">
      <w:pPr>
        <w:jc w:val="center"/>
        <w:rPr>
          <w:rFonts w:ascii="黑体" w:hAnsi="黑体" w:eastAsia="黑体" w:cs="方正黑体_GBK"/>
          <w:sz w:val="32"/>
          <w:szCs w:val="32"/>
        </w:rPr>
      </w:pPr>
      <w:r>
        <w:rPr>
          <w:rFonts w:hint="eastAsia" w:ascii="黑体" w:hAnsi="黑体" w:eastAsia="黑体" w:cs="方正黑体_GBK"/>
          <w:sz w:val="32"/>
          <w:szCs w:val="32"/>
        </w:rPr>
        <w:t>目  录</w:t>
      </w:r>
    </w:p>
    <w:p w14:paraId="15529DC0"/>
    <w:p w14:paraId="630FF59A">
      <w:pPr>
        <w:jc w:val="left"/>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食品安全风险管控清单（婴幼儿配方乳粉生产）</w:t>
      </w:r>
      <w:r>
        <w:rPr>
          <w:rFonts w:hint="eastAsia" w:ascii="仿宋_GB2312" w:hAnsi="仿宋_GB2312" w:eastAsia="仿宋_GB2312" w:cs="仿宋_GB2312"/>
          <w:sz w:val="28"/>
          <w:szCs w:val="28"/>
          <w:lang w:val="en-US" w:eastAsia="zh-CN"/>
        </w:rPr>
        <w:t>-------------24</w:t>
      </w:r>
    </w:p>
    <w:p w14:paraId="0FCE06A1">
      <w:pPr>
        <w:jc w:val="left"/>
        <w:outlineLvl w:val="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食品安全风险管控清单（特殊医学用途配方食品生产）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-------51</w:t>
      </w:r>
    </w:p>
    <w:p w14:paraId="2E93CEA8">
      <w:pPr>
        <w:spacing w:line="594" w:lineRule="exact"/>
        <w:jc w:val="left"/>
        <w:outlineLvl w:val="0"/>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食品安全风险管控清单（保健食品生产）</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-------------------88</w:t>
      </w:r>
    </w:p>
    <w:p w14:paraId="1096EE95">
      <w:pPr>
        <w:spacing w:line="594" w:lineRule="exact"/>
        <w:jc w:val="left"/>
        <w:outlineLvl w:val="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食品安全风险管控清单（食盐〔湖盐〕生产）</w:t>
      </w:r>
      <w:r>
        <w:rPr>
          <w:rFonts w:hint="eastAsia" w:ascii="仿宋_GB2312" w:hAnsi="仿宋_GB2312" w:eastAsia="仿宋_GB2312" w:cs="仿宋_GB2312"/>
          <w:sz w:val="28"/>
          <w:szCs w:val="28"/>
          <w:lang w:val="en-US" w:eastAsia="zh-CN"/>
        </w:rPr>
        <w:t>---------------99</w:t>
      </w:r>
    </w:p>
    <w:p w14:paraId="20932AA2">
      <w:pPr>
        <w:pStyle w:val="2"/>
        <w:rPr>
          <w:rFonts w:hint="eastAsia"/>
        </w:rPr>
      </w:pPr>
    </w:p>
    <w:p w14:paraId="67C0A7CD">
      <w:pPr>
        <w:pStyle w:val="2"/>
        <w:rPr>
          <w:rFonts w:hint="eastAsia"/>
        </w:rPr>
      </w:pPr>
    </w:p>
    <w:p w14:paraId="545DF1EC">
      <w:pPr>
        <w:pStyle w:val="2"/>
      </w:pPr>
    </w:p>
    <w:p w14:paraId="01F391DA"/>
    <w:p w14:paraId="2CFF43D6"/>
    <w:p w14:paraId="3C271FD2"/>
    <w:p w14:paraId="01EDB278"/>
    <w:p w14:paraId="6EB5F902">
      <w:bookmarkStart w:id="17" w:name="_GoBack"/>
      <w:bookmarkEnd w:id="17"/>
    </w:p>
    <w:p w14:paraId="5E69C37D"/>
    <w:p w14:paraId="453CE0F3"/>
    <w:p w14:paraId="38D1F30F"/>
    <w:p w14:paraId="39872ECF"/>
    <w:p w14:paraId="65DBF4B1"/>
    <w:p w14:paraId="5DD04CBB"/>
    <w:p w14:paraId="1EB3F072"/>
    <w:p w14:paraId="7DA595D0"/>
    <w:p w14:paraId="58F5E405"/>
    <w:p w14:paraId="0F3800A2"/>
    <w:p w14:paraId="301CA955"/>
    <w:p w14:paraId="6CF3404C"/>
    <w:p w14:paraId="4DA0BC97"/>
    <w:p w14:paraId="01921E50"/>
    <w:p w14:paraId="570144EA"/>
    <w:p w14:paraId="322795B7"/>
    <w:p w14:paraId="10A52495"/>
    <w:p w14:paraId="1A8C5F82"/>
    <w:p w14:paraId="11661A0E"/>
    <w:p w14:paraId="4B8C74C6">
      <w:p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4CEAE6F">
      <w:pPr>
        <w:jc w:val="center"/>
        <w:outlineLvl w:val="0"/>
        <w:rPr>
          <w:rFonts w:ascii="方正小标宋简体" w:hAnsi="仿宋" w:eastAsia="方正小标宋简体" w:cs="方正小标宋简体"/>
          <w:sz w:val="32"/>
          <w:szCs w:val="32"/>
        </w:rPr>
      </w:pPr>
      <w:bookmarkStart w:id="0" w:name="_Toc167609283"/>
      <w:r>
        <w:rPr>
          <w:rFonts w:hint="eastAsia" w:ascii="方正小标宋简体" w:hAnsi="仿宋" w:eastAsia="方正小标宋简体" w:cs="方正小标宋简体"/>
          <w:sz w:val="44"/>
          <w:szCs w:val="44"/>
        </w:rPr>
        <w:t>食品安全风险管控清单（婴幼儿配方乳粉生产）</w:t>
      </w:r>
      <w:bookmarkEnd w:id="0"/>
    </w:p>
    <w:p w14:paraId="14B488C7">
      <w:pPr>
        <w:rPr>
          <w:rFonts w:ascii="仿宋" w:hAnsi="仿宋" w:eastAsia="仿宋"/>
        </w:rPr>
      </w:pPr>
    </w:p>
    <w:tbl>
      <w:tblPr>
        <w:tblStyle w:val="8"/>
        <w:tblW w:w="509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796"/>
        <w:gridCol w:w="801"/>
        <w:gridCol w:w="939"/>
        <w:gridCol w:w="1347"/>
        <w:gridCol w:w="2944"/>
        <w:gridCol w:w="3263"/>
        <w:gridCol w:w="1109"/>
        <w:gridCol w:w="1339"/>
        <w:gridCol w:w="997"/>
      </w:tblGrid>
      <w:tr w14:paraId="0F428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288" w:type="pct"/>
            <w:tcBorders>
              <w:tl2br w:val="nil"/>
              <w:tr2bl w:val="nil"/>
            </w:tcBorders>
            <w:vAlign w:val="center"/>
          </w:tcPr>
          <w:p w14:paraId="0E24C849">
            <w:pPr>
              <w:jc w:val="center"/>
              <w:rPr>
                <w:rFonts w:ascii="黑体" w:hAnsi="黑体" w:eastAsia="黑体" w:cs="仿宋_GB2312"/>
                <w:bCs/>
                <w:sz w:val="24"/>
              </w:rPr>
            </w:pPr>
            <w:r>
              <w:rPr>
                <w:rFonts w:hint="eastAsia" w:ascii="黑体" w:hAnsi="黑体" w:eastAsia="黑体" w:cs="仿宋_GB2312"/>
                <w:bCs/>
                <w:sz w:val="24"/>
              </w:rPr>
              <w:t>食品类别</w:t>
            </w:r>
          </w:p>
        </w:tc>
        <w:tc>
          <w:tcPr>
            <w:tcW w:w="277" w:type="pct"/>
            <w:tcBorders>
              <w:tl2br w:val="nil"/>
              <w:tr2bl w:val="nil"/>
            </w:tcBorders>
            <w:vAlign w:val="center"/>
          </w:tcPr>
          <w:p w14:paraId="14404C52">
            <w:pPr>
              <w:jc w:val="center"/>
              <w:rPr>
                <w:rFonts w:ascii="黑体" w:hAnsi="黑体" w:eastAsia="黑体" w:cs="仿宋_GB2312"/>
                <w:bCs/>
                <w:sz w:val="24"/>
              </w:rPr>
            </w:pPr>
            <w:r>
              <w:rPr>
                <w:rFonts w:hint="eastAsia" w:ascii="黑体" w:hAnsi="黑体" w:eastAsia="黑体" w:cs="仿宋_GB2312"/>
                <w:bCs/>
                <w:sz w:val="24"/>
              </w:rPr>
              <w:t>类别名称</w:t>
            </w:r>
          </w:p>
        </w:tc>
        <w:tc>
          <w:tcPr>
            <w:tcW w:w="279" w:type="pct"/>
            <w:tcBorders>
              <w:tl2br w:val="nil"/>
              <w:tr2bl w:val="nil"/>
            </w:tcBorders>
            <w:vAlign w:val="center"/>
          </w:tcPr>
          <w:p w14:paraId="44A1E89B">
            <w:pPr>
              <w:jc w:val="center"/>
              <w:rPr>
                <w:rFonts w:ascii="黑体" w:hAnsi="黑体" w:eastAsia="黑体" w:cs="仿宋_GB2312"/>
                <w:bCs/>
                <w:sz w:val="24"/>
              </w:rPr>
            </w:pPr>
            <w:r>
              <w:rPr>
                <w:rFonts w:hint="eastAsia" w:ascii="黑体" w:hAnsi="黑体" w:eastAsia="黑体" w:cs="仿宋_GB2312"/>
                <w:bCs/>
                <w:sz w:val="24"/>
              </w:rPr>
              <w:t>风险类型</w:t>
            </w:r>
          </w:p>
        </w:tc>
        <w:tc>
          <w:tcPr>
            <w:tcW w:w="327" w:type="pct"/>
            <w:tcBorders>
              <w:tl2br w:val="nil"/>
              <w:tr2bl w:val="nil"/>
            </w:tcBorders>
            <w:vAlign w:val="center"/>
          </w:tcPr>
          <w:p w14:paraId="7E5D9C9A">
            <w:pPr>
              <w:jc w:val="center"/>
              <w:rPr>
                <w:rFonts w:ascii="黑体" w:hAnsi="黑体" w:eastAsia="黑体" w:cs="仿宋_GB2312"/>
                <w:bCs/>
                <w:sz w:val="24"/>
              </w:rPr>
            </w:pPr>
            <w:r>
              <w:rPr>
                <w:rFonts w:hint="eastAsia" w:ascii="黑体" w:hAnsi="黑体" w:eastAsia="黑体" w:cs="仿宋_GB2312"/>
                <w:bCs/>
                <w:sz w:val="24"/>
              </w:rPr>
              <w:t>风险控制环节</w:t>
            </w:r>
          </w:p>
        </w:tc>
        <w:tc>
          <w:tcPr>
            <w:tcW w:w="469" w:type="pct"/>
            <w:tcBorders>
              <w:tl2br w:val="nil"/>
              <w:tr2bl w:val="nil"/>
            </w:tcBorders>
            <w:vAlign w:val="center"/>
          </w:tcPr>
          <w:p w14:paraId="35F59E3C">
            <w:pPr>
              <w:jc w:val="center"/>
              <w:rPr>
                <w:rFonts w:ascii="黑体" w:hAnsi="黑体" w:eastAsia="黑体" w:cs="仿宋_GB2312"/>
                <w:bCs/>
                <w:sz w:val="24"/>
              </w:rPr>
            </w:pPr>
            <w:r>
              <w:rPr>
                <w:rFonts w:hint="eastAsia" w:ascii="黑体" w:hAnsi="黑体" w:eastAsia="黑体" w:cs="仿宋_GB2312"/>
                <w:bCs/>
                <w:sz w:val="24"/>
              </w:rPr>
              <w:t>风险点</w:t>
            </w:r>
          </w:p>
        </w:tc>
        <w:tc>
          <w:tcPr>
            <w:tcW w:w="1025" w:type="pct"/>
            <w:tcBorders>
              <w:tl2br w:val="nil"/>
              <w:tr2bl w:val="nil"/>
            </w:tcBorders>
            <w:vAlign w:val="center"/>
          </w:tcPr>
          <w:p w14:paraId="41786A65">
            <w:pPr>
              <w:jc w:val="center"/>
              <w:rPr>
                <w:rFonts w:ascii="黑体" w:hAnsi="黑体" w:eastAsia="黑体" w:cs="仿宋_GB2312"/>
                <w:bCs/>
                <w:sz w:val="24"/>
              </w:rPr>
            </w:pPr>
            <w:r>
              <w:rPr>
                <w:rFonts w:hint="eastAsia" w:ascii="黑体" w:hAnsi="黑体" w:eastAsia="黑体" w:cs="仿宋_GB2312"/>
                <w:bCs/>
                <w:sz w:val="24"/>
              </w:rPr>
              <w:t>风险描述</w:t>
            </w:r>
          </w:p>
        </w:tc>
        <w:tc>
          <w:tcPr>
            <w:tcW w:w="1136" w:type="pct"/>
            <w:tcBorders>
              <w:tl2br w:val="nil"/>
              <w:tr2bl w:val="nil"/>
            </w:tcBorders>
            <w:vAlign w:val="center"/>
          </w:tcPr>
          <w:p w14:paraId="545ABA84">
            <w:pPr>
              <w:jc w:val="center"/>
              <w:rPr>
                <w:rFonts w:ascii="黑体" w:hAnsi="黑体" w:eastAsia="黑体" w:cs="仿宋_GB2312"/>
                <w:bCs/>
                <w:sz w:val="24"/>
              </w:rPr>
            </w:pPr>
            <w:r>
              <w:rPr>
                <w:rFonts w:hint="eastAsia" w:ascii="黑体" w:hAnsi="黑体" w:eastAsia="黑体" w:cs="仿宋_GB2312"/>
                <w:bCs/>
                <w:sz w:val="24"/>
              </w:rPr>
              <w:t>管控措施</w:t>
            </w:r>
          </w:p>
        </w:tc>
        <w:tc>
          <w:tcPr>
            <w:tcW w:w="386" w:type="pct"/>
            <w:tcBorders>
              <w:tl2br w:val="nil"/>
              <w:tr2bl w:val="nil"/>
            </w:tcBorders>
            <w:vAlign w:val="center"/>
          </w:tcPr>
          <w:p w14:paraId="136EB88D">
            <w:pPr>
              <w:jc w:val="center"/>
              <w:rPr>
                <w:rFonts w:ascii="黑体" w:hAnsi="黑体" w:eastAsia="黑体" w:cs="仿宋_GB2312"/>
                <w:bCs/>
                <w:sz w:val="24"/>
              </w:rPr>
            </w:pPr>
            <w:r>
              <w:rPr>
                <w:rFonts w:hint="eastAsia" w:ascii="黑体" w:hAnsi="黑体" w:eastAsia="黑体" w:cs="仿宋_GB2312"/>
                <w:bCs/>
                <w:sz w:val="24"/>
              </w:rPr>
              <w:t>管控</w:t>
            </w:r>
          </w:p>
          <w:p w14:paraId="6A0963B7">
            <w:pPr>
              <w:jc w:val="center"/>
              <w:rPr>
                <w:rFonts w:ascii="黑体" w:hAnsi="黑体" w:eastAsia="黑体" w:cs="仿宋_GB2312"/>
                <w:bCs/>
                <w:sz w:val="24"/>
              </w:rPr>
            </w:pPr>
            <w:r>
              <w:rPr>
                <w:rFonts w:hint="eastAsia" w:ascii="黑体" w:hAnsi="黑体" w:eastAsia="黑体" w:cs="仿宋_GB2312"/>
                <w:bCs/>
                <w:sz w:val="24"/>
              </w:rPr>
              <w:t>频次</w:t>
            </w:r>
          </w:p>
        </w:tc>
        <w:tc>
          <w:tcPr>
            <w:tcW w:w="466" w:type="pct"/>
            <w:tcBorders>
              <w:tl2br w:val="nil"/>
              <w:tr2bl w:val="nil"/>
            </w:tcBorders>
            <w:vAlign w:val="center"/>
          </w:tcPr>
          <w:p w14:paraId="58C15A2F">
            <w:pPr>
              <w:jc w:val="center"/>
              <w:rPr>
                <w:rFonts w:ascii="黑体" w:hAnsi="黑体" w:eastAsia="黑体" w:cs="仿宋_GB2312"/>
                <w:bCs/>
                <w:sz w:val="24"/>
              </w:rPr>
            </w:pPr>
            <w:r>
              <w:rPr>
                <w:rFonts w:hint="eastAsia" w:ascii="黑体" w:hAnsi="黑体" w:eastAsia="黑体" w:cs="仿宋_GB2312"/>
                <w:bCs/>
                <w:sz w:val="24"/>
              </w:rPr>
              <w:t>管控目标</w:t>
            </w:r>
          </w:p>
        </w:tc>
        <w:tc>
          <w:tcPr>
            <w:tcW w:w="347" w:type="pct"/>
            <w:tcBorders>
              <w:tl2br w:val="nil"/>
              <w:tr2bl w:val="nil"/>
            </w:tcBorders>
            <w:vAlign w:val="center"/>
          </w:tcPr>
          <w:p w14:paraId="7B69442D">
            <w:pPr>
              <w:jc w:val="center"/>
              <w:rPr>
                <w:rFonts w:ascii="黑体" w:hAnsi="黑体" w:eastAsia="黑体" w:cs="仿宋_GB2312"/>
                <w:bCs/>
                <w:sz w:val="24"/>
              </w:rPr>
            </w:pPr>
            <w:r>
              <w:rPr>
                <w:rFonts w:hint="eastAsia" w:ascii="黑体" w:hAnsi="黑体" w:eastAsia="黑体" w:cs="仿宋_GB2312"/>
                <w:bCs/>
                <w:sz w:val="24"/>
              </w:rPr>
              <w:t>责任人</w:t>
            </w:r>
          </w:p>
        </w:tc>
      </w:tr>
      <w:tr w14:paraId="500A4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5E7F82B9">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30C9A246">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0F36BC9B">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728C6EE0">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厂区环境</w:t>
            </w:r>
          </w:p>
        </w:tc>
        <w:tc>
          <w:tcPr>
            <w:tcW w:w="469" w:type="pct"/>
            <w:tcBorders>
              <w:tl2br w:val="nil"/>
              <w:tr2bl w:val="nil"/>
            </w:tcBorders>
            <w:vAlign w:val="center"/>
          </w:tcPr>
          <w:p w14:paraId="3F9DB626">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有毒有害物污染</w:t>
            </w:r>
          </w:p>
        </w:tc>
        <w:tc>
          <w:tcPr>
            <w:tcW w:w="1025" w:type="pct"/>
            <w:tcBorders>
              <w:tl2br w:val="nil"/>
              <w:tr2bl w:val="nil"/>
            </w:tcBorders>
            <w:vAlign w:val="center"/>
          </w:tcPr>
          <w:p w14:paraId="797DC8D2">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厂区、车间未与有毒、有害场所及其他污染源保持规定的距离或无有效防范措施。</w:t>
            </w:r>
          </w:p>
        </w:tc>
        <w:tc>
          <w:tcPr>
            <w:tcW w:w="1136" w:type="pct"/>
            <w:tcBorders>
              <w:tl2br w:val="nil"/>
              <w:tr2bl w:val="nil"/>
            </w:tcBorders>
            <w:vAlign w:val="center"/>
          </w:tcPr>
          <w:p w14:paraId="0070C4A6">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.废弃物存放区域远离生产车间，生产过程的废弃物每日运送至废弃物存放区域，存放废弃物的容器应标识清晰，有效防护；</w:t>
            </w:r>
          </w:p>
          <w:p w14:paraId="369A2CDC">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.废弃物处理由专业资质公司处理，定期检查处理情况。</w:t>
            </w:r>
          </w:p>
        </w:tc>
        <w:tc>
          <w:tcPr>
            <w:tcW w:w="386" w:type="pct"/>
            <w:tcBorders>
              <w:tl2br w:val="nil"/>
              <w:tr2bl w:val="nil"/>
            </w:tcBorders>
            <w:vAlign w:val="center"/>
          </w:tcPr>
          <w:p w14:paraId="78A2A55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每周</w:t>
            </w:r>
          </w:p>
        </w:tc>
        <w:tc>
          <w:tcPr>
            <w:tcW w:w="466" w:type="pct"/>
            <w:tcBorders>
              <w:tl2br w:val="nil"/>
              <w:tr2bl w:val="nil"/>
            </w:tcBorders>
            <w:vAlign w:val="center"/>
          </w:tcPr>
          <w:p w14:paraId="7B86DEB3">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和内控要求</w:t>
            </w:r>
          </w:p>
        </w:tc>
        <w:tc>
          <w:tcPr>
            <w:tcW w:w="347" w:type="pct"/>
            <w:tcBorders>
              <w:tl2br w:val="nil"/>
              <w:tr2bl w:val="nil"/>
            </w:tcBorders>
            <w:vAlign w:val="center"/>
          </w:tcPr>
          <w:p w14:paraId="32D5709D">
            <w:pPr>
              <w:rPr>
                <w:rFonts w:ascii="仿宋" w:hAnsi="仿宋" w:eastAsia="仿宋" w:cs="仿宋_GB2312"/>
                <w:color w:val="000000"/>
                <w:sz w:val="24"/>
              </w:rPr>
            </w:pPr>
          </w:p>
        </w:tc>
      </w:tr>
      <w:tr w14:paraId="7CB1A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27D71B7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3C0465D5">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4DB4571E">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78F9450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虫鼠害防控</w:t>
            </w:r>
          </w:p>
        </w:tc>
        <w:tc>
          <w:tcPr>
            <w:tcW w:w="469" w:type="pct"/>
            <w:tcBorders>
              <w:tl2br w:val="nil"/>
              <w:tr2bl w:val="nil"/>
            </w:tcBorders>
            <w:vAlign w:val="center"/>
          </w:tcPr>
          <w:p w14:paraId="55779E7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生物污染</w:t>
            </w:r>
          </w:p>
        </w:tc>
        <w:tc>
          <w:tcPr>
            <w:tcW w:w="1025" w:type="pct"/>
            <w:tcBorders>
              <w:tl2br w:val="nil"/>
              <w:tr2bl w:val="nil"/>
            </w:tcBorders>
            <w:vAlign w:val="center"/>
          </w:tcPr>
          <w:p w14:paraId="7745D5DA">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.虫鼠害从外部进入生产车间或库房；</w:t>
            </w:r>
          </w:p>
          <w:p w14:paraId="6BFD7999">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.未充分分析虫害来源，未能做好预防虫害的预防管理。</w:t>
            </w:r>
          </w:p>
        </w:tc>
        <w:tc>
          <w:tcPr>
            <w:tcW w:w="1136" w:type="pct"/>
            <w:tcBorders>
              <w:tl2br w:val="nil"/>
              <w:tr2bl w:val="nil"/>
            </w:tcBorders>
            <w:vAlign w:val="center"/>
          </w:tcPr>
          <w:p w14:paraId="361B28B1">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.外部与生产区域相通的门加装风幕、门帘，窗户安装纱窗，生产车间内地漏安装防鼠网等防虫、防鼠设施并做好维护；</w:t>
            </w:r>
          </w:p>
          <w:p w14:paraId="3BC0F62A">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 xml:space="preserve">.降低车间内部吸引因素，如：可引起再污染的灭蝇灯（如电击式灭蝇灯）、未得到有效清洁的环境等； </w:t>
            </w:r>
          </w:p>
          <w:p w14:paraId="7B3945C6">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.安装粘捕式灭蝇灯，定期更换粘纸并记录粘捕昆虫的数量和种类，分析其来源，实施预防管控措施。</w:t>
            </w:r>
          </w:p>
        </w:tc>
        <w:tc>
          <w:tcPr>
            <w:tcW w:w="386" w:type="pct"/>
            <w:tcBorders>
              <w:tl2br w:val="nil"/>
              <w:tr2bl w:val="nil"/>
            </w:tcBorders>
            <w:vAlign w:val="center"/>
          </w:tcPr>
          <w:p w14:paraId="31785C5A">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每月</w:t>
            </w:r>
          </w:p>
        </w:tc>
        <w:tc>
          <w:tcPr>
            <w:tcW w:w="466" w:type="pct"/>
            <w:tcBorders>
              <w:tl2br w:val="nil"/>
              <w:tr2bl w:val="nil"/>
            </w:tcBorders>
            <w:vAlign w:val="center"/>
          </w:tcPr>
          <w:p w14:paraId="762AAB05">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和内控要求</w:t>
            </w:r>
          </w:p>
        </w:tc>
        <w:tc>
          <w:tcPr>
            <w:tcW w:w="347" w:type="pct"/>
            <w:tcBorders>
              <w:tl2br w:val="nil"/>
              <w:tr2bl w:val="nil"/>
            </w:tcBorders>
            <w:vAlign w:val="center"/>
          </w:tcPr>
          <w:p w14:paraId="317C413D">
            <w:pPr>
              <w:rPr>
                <w:rFonts w:ascii="仿宋" w:hAnsi="仿宋" w:eastAsia="仿宋" w:cs="仿宋_GB2312"/>
                <w:color w:val="000000"/>
                <w:sz w:val="24"/>
              </w:rPr>
            </w:pPr>
          </w:p>
        </w:tc>
      </w:tr>
      <w:tr w14:paraId="7F2DD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4C06E100">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6484CE4F">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2EBB034F">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7016979D">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车间环境</w:t>
            </w:r>
          </w:p>
        </w:tc>
        <w:tc>
          <w:tcPr>
            <w:tcW w:w="469" w:type="pct"/>
            <w:tcBorders>
              <w:tl2br w:val="nil"/>
              <w:tr2bl w:val="nil"/>
            </w:tcBorders>
            <w:vAlign w:val="center"/>
          </w:tcPr>
          <w:p w14:paraId="6C93B2F8">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车间基础设施不完善引发污染</w:t>
            </w:r>
          </w:p>
        </w:tc>
        <w:tc>
          <w:tcPr>
            <w:tcW w:w="1025" w:type="pct"/>
            <w:tcBorders>
              <w:tl2br w:val="nil"/>
              <w:tr2bl w:val="nil"/>
            </w:tcBorders>
            <w:vAlign w:val="center"/>
          </w:tcPr>
          <w:p w14:paraId="3D935EE4">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生产车间内部破损和不易清洁处，容易孳生微生物，增加克罗诺杆菌属等污染的风险。</w:t>
            </w:r>
          </w:p>
        </w:tc>
        <w:tc>
          <w:tcPr>
            <w:tcW w:w="1136" w:type="pct"/>
            <w:tcBorders>
              <w:tl2br w:val="nil"/>
              <w:tr2bl w:val="nil"/>
            </w:tcBorders>
            <w:vAlign w:val="center"/>
          </w:tcPr>
          <w:p w14:paraId="153CD334">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.建立车间基础设施管理制度，按照制度定期检查，对不符合要求的，及时维修、维护；</w:t>
            </w:r>
          </w:p>
          <w:p w14:paraId="79FE637F">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.对破损处、缝隙、夹层的清洁消毒要彻底；</w:t>
            </w:r>
          </w:p>
          <w:p w14:paraId="7AD08EDC">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.必要时对破损及不易清洁处进行环境微生物监测。</w:t>
            </w:r>
          </w:p>
        </w:tc>
        <w:tc>
          <w:tcPr>
            <w:tcW w:w="386" w:type="pct"/>
            <w:tcBorders>
              <w:tl2br w:val="nil"/>
              <w:tr2bl w:val="nil"/>
            </w:tcBorders>
            <w:vAlign w:val="center"/>
          </w:tcPr>
          <w:p w14:paraId="3CF9F63E">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每月</w:t>
            </w:r>
          </w:p>
        </w:tc>
        <w:tc>
          <w:tcPr>
            <w:tcW w:w="466" w:type="pct"/>
            <w:tcBorders>
              <w:tl2br w:val="nil"/>
              <w:tr2bl w:val="nil"/>
            </w:tcBorders>
            <w:vAlign w:val="center"/>
          </w:tcPr>
          <w:p w14:paraId="04F48D67">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 14881</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要求</w:t>
            </w:r>
          </w:p>
        </w:tc>
        <w:tc>
          <w:tcPr>
            <w:tcW w:w="347" w:type="pct"/>
            <w:tcBorders>
              <w:tl2br w:val="nil"/>
              <w:tr2bl w:val="nil"/>
            </w:tcBorders>
            <w:vAlign w:val="center"/>
          </w:tcPr>
          <w:p w14:paraId="7B859DCB">
            <w:pPr>
              <w:rPr>
                <w:rFonts w:ascii="仿宋" w:hAnsi="仿宋" w:eastAsia="仿宋" w:cs="仿宋_GB2312"/>
                <w:color w:val="000000"/>
                <w:sz w:val="24"/>
              </w:rPr>
            </w:pPr>
          </w:p>
        </w:tc>
      </w:tr>
      <w:tr w14:paraId="794E1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5D78E4F3">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131FCA8D">
            <w:pPr>
              <w:widowControl/>
              <w:jc w:val="lef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41593B90">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33ECC51E">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空气过滤设备设施</w:t>
            </w:r>
          </w:p>
        </w:tc>
        <w:tc>
          <w:tcPr>
            <w:tcW w:w="469" w:type="pct"/>
            <w:tcBorders>
              <w:tl2br w:val="nil"/>
              <w:tr2bl w:val="nil"/>
            </w:tcBorders>
            <w:vAlign w:val="center"/>
          </w:tcPr>
          <w:p w14:paraId="5F2611BE">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空气污染</w:t>
            </w:r>
          </w:p>
        </w:tc>
        <w:tc>
          <w:tcPr>
            <w:tcW w:w="1025" w:type="pct"/>
            <w:tcBorders>
              <w:tl2br w:val="nil"/>
              <w:tr2bl w:val="nil"/>
            </w:tcBorders>
            <w:vAlign w:val="center"/>
          </w:tcPr>
          <w:p w14:paraId="09A61D11">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脏污空气污染产品，影响质量与安全。</w:t>
            </w:r>
          </w:p>
        </w:tc>
        <w:tc>
          <w:tcPr>
            <w:tcW w:w="1136" w:type="pct"/>
            <w:tcBorders>
              <w:tl2br w:val="nil"/>
              <w:tr2bl w:val="nil"/>
            </w:tcBorders>
            <w:vAlign w:val="center"/>
          </w:tcPr>
          <w:p w14:paraId="55E63ACB">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.空气应由清洁度要求高的区域流向清洁度要求低的区域；</w:t>
            </w:r>
          </w:p>
          <w:p w14:paraId="03E2D3BB">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.进气口应距地面或屋面</w:t>
            </w:r>
            <w:r>
              <w:rPr>
                <w:rFonts w:hint="eastAsia" w:ascii="Times New Roman" w:hAnsi="Times New Roman" w:eastAsia="仿宋_GB2312" w:cs="仿宋_GB2312"/>
                <w:color w:val="000000"/>
                <w:kern w:val="0"/>
                <w:sz w:val="24"/>
                <w:lang w:bidi="ar"/>
              </w:rPr>
              <w:t>2m</w:t>
            </w:r>
            <w:r>
              <w:rPr>
                <w:rFonts w:hint="eastAsia" w:ascii="仿宋" w:hAnsi="仿宋" w:eastAsia="仿宋_GB2312" w:cs="仿宋_GB2312"/>
                <w:color w:val="000000"/>
                <w:kern w:val="0"/>
                <w:sz w:val="24"/>
                <w:lang w:bidi="ar"/>
              </w:rPr>
              <w:t>以上，远离污染源和排气口，并设有满足过滤级别要求的空气过滤设备。</w:t>
            </w:r>
          </w:p>
        </w:tc>
        <w:tc>
          <w:tcPr>
            <w:tcW w:w="386" w:type="pct"/>
            <w:tcBorders>
              <w:tl2br w:val="nil"/>
              <w:tr2bl w:val="nil"/>
            </w:tcBorders>
            <w:vAlign w:val="center"/>
          </w:tcPr>
          <w:p w14:paraId="2CCA74EC">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每月</w:t>
            </w:r>
          </w:p>
        </w:tc>
        <w:tc>
          <w:tcPr>
            <w:tcW w:w="466" w:type="pct"/>
            <w:tcBorders>
              <w:tl2br w:val="nil"/>
              <w:tr2bl w:val="nil"/>
            </w:tcBorders>
            <w:vAlign w:val="center"/>
          </w:tcPr>
          <w:p w14:paraId="5BFFA504">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GB12693</w:t>
            </w:r>
            <w:r>
              <w:rPr>
                <w:rFonts w:hint="eastAsia" w:ascii="仿宋" w:hAnsi="仿宋" w:eastAsia="仿宋_GB2312" w:cs="仿宋_GB2312"/>
                <w:color w:val="000000"/>
                <w:kern w:val="0"/>
                <w:sz w:val="24"/>
                <w:lang w:bidi="ar"/>
              </w:rPr>
              <w:t>要求</w:t>
            </w:r>
          </w:p>
        </w:tc>
        <w:tc>
          <w:tcPr>
            <w:tcW w:w="347" w:type="pct"/>
            <w:tcBorders>
              <w:tl2br w:val="nil"/>
              <w:tr2bl w:val="nil"/>
            </w:tcBorders>
            <w:vAlign w:val="center"/>
          </w:tcPr>
          <w:p w14:paraId="207F7366">
            <w:pPr>
              <w:rPr>
                <w:rFonts w:ascii="仿宋" w:hAnsi="仿宋" w:eastAsia="仿宋" w:cs="仿宋_GB2312"/>
                <w:color w:val="000000"/>
                <w:sz w:val="24"/>
              </w:rPr>
            </w:pPr>
          </w:p>
        </w:tc>
      </w:tr>
      <w:tr w14:paraId="27C6A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1D298AC4">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5C17D2E6">
            <w:pPr>
              <w:widowControl/>
              <w:jc w:val="lef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63290FFA">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64996D7D">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生产用水设备设施</w:t>
            </w:r>
          </w:p>
        </w:tc>
        <w:tc>
          <w:tcPr>
            <w:tcW w:w="469" w:type="pct"/>
            <w:tcBorders>
              <w:tl2br w:val="nil"/>
              <w:tr2bl w:val="nil"/>
            </w:tcBorders>
            <w:vAlign w:val="center"/>
          </w:tcPr>
          <w:p w14:paraId="1B3A5CD4">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生产用水不洁引起污染</w:t>
            </w:r>
          </w:p>
        </w:tc>
        <w:tc>
          <w:tcPr>
            <w:tcW w:w="1025" w:type="pct"/>
            <w:tcBorders>
              <w:tl2br w:val="nil"/>
              <w:tr2bl w:val="nil"/>
            </w:tcBorders>
            <w:vAlign w:val="center"/>
          </w:tcPr>
          <w:p w14:paraId="2FF7CB35">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水污染导致产品不合格。</w:t>
            </w:r>
          </w:p>
        </w:tc>
        <w:tc>
          <w:tcPr>
            <w:tcW w:w="1136" w:type="pct"/>
            <w:tcBorders>
              <w:tl2br w:val="nil"/>
              <w:tr2bl w:val="nil"/>
            </w:tcBorders>
            <w:vAlign w:val="center"/>
          </w:tcPr>
          <w:p w14:paraId="02B1DB13">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.多介质过滤器、活性炭过滤器、保安过滤器、超滤系统定期清洗；</w:t>
            </w:r>
          </w:p>
          <w:p w14:paraId="212C8B1D">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.储水罐应清洗及效果验证，蓄水池每半年清理，水质每年送检。</w:t>
            </w:r>
          </w:p>
        </w:tc>
        <w:tc>
          <w:tcPr>
            <w:tcW w:w="386" w:type="pct"/>
            <w:tcBorders>
              <w:tl2br w:val="nil"/>
              <w:tr2bl w:val="nil"/>
            </w:tcBorders>
            <w:vAlign w:val="center"/>
          </w:tcPr>
          <w:p w14:paraId="523DAF0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定期</w:t>
            </w:r>
          </w:p>
        </w:tc>
        <w:tc>
          <w:tcPr>
            <w:tcW w:w="466" w:type="pct"/>
            <w:tcBorders>
              <w:tl2br w:val="nil"/>
              <w:tr2bl w:val="nil"/>
            </w:tcBorders>
            <w:vAlign w:val="center"/>
          </w:tcPr>
          <w:p w14:paraId="2A531944">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水质符合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5749</w:t>
            </w:r>
            <w:r>
              <w:rPr>
                <w:rFonts w:hint="eastAsia" w:ascii="仿宋" w:hAnsi="仿宋" w:eastAsia="仿宋_GB2312" w:cs="仿宋_GB2312"/>
                <w:color w:val="000000"/>
                <w:kern w:val="0"/>
                <w:sz w:val="24"/>
                <w:lang w:bidi="ar"/>
              </w:rPr>
              <w:t>《生活饮用水标准》</w:t>
            </w:r>
          </w:p>
        </w:tc>
        <w:tc>
          <w:tcPr>
            <w:tcW w:w="347" w:type="pct"/>
            <w:tcBorders>
              <w:tl2br w:val="nil"/>
              <w:tr2bl w:val="nil"/>
            </w:tcBorders>
            <w:vAlign w:val="center"/>
          </w:tcPr>
          <w:p w14:paraId="369A36DE">
            <w:pPr>
              <w:rPr>
                <w:rFonts w:ascii="仿宋" w:hAnsi="仿宋" w:eastAsia="仿宋" w:cs="仿宋_GB2312"/>
                <w:color w:val="000000"/>
                <w:sz w:val="24"/>
              </w:rPr>
            </w:pPr>
          </w:p>
        </w:tc>
      </w:tr>
      <w:tr w14:paraId="3CFC2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27B2F465">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799A6080">
            <w:pPr>
              <w:widowControl/>
              <w:jc w:val="lef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5148EE24">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2EAF097D">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压缩空气设备设施</w:t>
            </w:r>
          </w:p>
        </w:tc>
        <w:tc>
          <w:tcPr>
            <w:tcW w:w="469" w:type="pct"/>
            <w:tcBorders>
              <w:tl2br w:val="nil"/>
              <w:tr2bl w:val="nil"/>
            </w:tcBorders>
            <w:vAlign w:val="center"/>
          </w:tcPr>
          <w:p w14:paraId="2253C543">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压缩空气污染</w:t>
            </w:r>
          </w:p>
        </w:tc>
        <w:tc>
          <w:tcPr>
            <w:tcW w:w="1025" w:type="pct"/>
            <w:tcBorders>
              <w:tl2br w:val="nil"/>
              <w:tr2bl w:val="nil"/>
            </w:tcBorders>
            <w:vAlign w:val="center"/>
          </w:tcPr>
          <w:p w14:paraId="1DBF957C">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与食品表面直接接触的不洁净无菌空气污染产品。</w:t>
            </w:r>
          </w:p>
        </w:tc>
        <w:tc>
          <w:tcPr>
            <w:tcW w:w="1136" w:type="pct"/>
            <w:tcBorders>
              <w:tl2br w:val="nil"/>
              <w:tr2bl w:val="nil"/>
            </w:tcBorders>
            <w:vAlign w:val="center"/>
          </w:tcPr>
          <w:p w14:paraId="43A4C401">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.监控无菌空气过滤器使用的次数；</w:t>
            </w:r>
          </w:p>
          <w:p w14:paraId="13FBBBA4">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.对无菌空气杀菌效果进行验证，检测无菌空气灭菌后物料菌落总数；</w:t>
            </w:r>
          </w:p>
          <w:p w14:paraId="3065831A">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.确保无菌空气杀菌温度符合标准。</w:t>
            </w:r>
          </w:p>
        </w:tc>
        <w:tc>
          <w:tcPr>
            <w:tcW w:w="386" w:type="pct"/>
            <w:tcBorders>
              <w:tl2br w:val="nil"/>
              <w:tr2bl w:val="nil"/>
            </w:tcBorders>
            <w:vAlign w:val="center"/>
          </w:tcPr>
          <w:p w14:paraId="36A13291">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每月</w:t>
            </w:r>
          </w:p>
        </w:tc>
        <w:tc>
          <w:tcPr>
            <w:tcW w:w="466" w:type="pct"/>
            <w:tcBorders>
              <w:tl2br w:val="nil"/>
              <w:tr2bl w:val="nil"/>
            </w:tcBorders>
            <w:vAlign w:val="center"/>
          </w:tcPr>
          <w:p w14:paraId="5FB1BE40">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符合食品安全国家标准和内控要求</w:t>
            </w:r>
          </w:p>
        </w:tc>
        <w:tc>
          <w:tcPr>
            <w:tcW w:w="347" w:type="pct"/>
            <w:tcBorders>
              <w:tl2br w:val="nil"/>
              <w:tr2bl w:val="nil"/>
            </w:tcBorders>
            <w:vAlign w:val="center"/>
          </w:tcPr>
          <w:p w14:paraId="58A9DFC3">
            <w:pPr>
              <w:rPr>
                <w:rFonts w:ascii="仿宋" w:hAnsi="仿宋" w:eastAsia="仿宋" w:cs="仿宋_GB2312"/>
                <w:color w:val="000000"/>
                <w:sz w:val="24"/>
              </w:rPr>
            </w:pPr>
          </w:p>
        </w:tc>
      </w:tr>
      <w:tr w14:paraId="053CE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78D8C6E6">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4E918AA4">
            <w:pPr>
              <w:widowControl/>
              <w:jc w:val="lef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183A7363">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3C1903E1">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计量设备设施</w:t>
            </w:r>
          </w:p>
        </w:tc>
        <w:tc>
          <w:tcPr>
            <w:tcW w:w="469" w:type="pct"/>
            <w:tcBorders>
              <w:tl2br w:val="nil"/>
              <w:tr2bl w:val="nil"/>
            </w:tcBorders>
            <w:vAlign w:val="center"/>
          </w:tcPr>
          <w:p w14:paraId="4911A6AF">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计量器具</w:t>
            </w:r>
          </w:p>
        </w:tc>
        <w:tc>
          <w:tcPr>
            <w:tcW w:w="1025" w:type="pct"/>
            <w:tcBorders>
              <w:tl2br w:val="nil"/>
              <w:tr2bl w:val="nil"/>
            </w:tcBorders>
            <w:vAlign w:val="center"/>
          </w:tcPr>
          <w:p w14:paraId="01527B7D">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计量器具未及时校准而计量不准确。</w:t>
            </w:r>
          </w:p>
        </w:tc>
        <w:tc>
          <w:tcPr>
            <w:tcW w:w="1136" w:type="pct"/>
            <w:tcBorders>
              <w:tl2br w:val="nil"/>
              <w:tr2bl w:val="nil"/>
            </w:tcBorders>
            <w:vAlign w:val="center"/>
          </w:tcPr>
          <w:p w14:paraId="74D779A7">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车间温度计、流速计、压力计、秤、天平、计时器等设备应定期外部检定或校准，内部校准应定期进行。</w:t>
            </w:r>
          </w:p>
        </w:tc>
        <w:tc>
          <w:tcPr>
            <w:tcW w:w="386" w:type="pct"/>
            <w:tcBorders>
              <w:tl2br w:val="nil"/>
              <w:tr2bl w:val="nil"/>
            </w:tcBorders>
            <w:vAlign w:val="center"/>
          </w:tcPr>
          <w:p w14:paraId="5B838EE5">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每年外部检定和定期内部校准</w:t>
            </w:r>
          </w:p>
        </w:tc>
        <w:tc>
          <w:tcPr>
            <w:tcW w:w="466" w:type="pct"/>
            <w:tcBorders>
              <w:tl2br w:val="nil"/>
              <w:tr2bl w:val="nil"/>
            </w:tcBorders>
            <w:vAlign w:val="center"/>
          </w:tcPr>
          <w:p w14:paraId="313BC2CC">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符合计量法管理要求</w:t>
            </w:r>
          </w:p>
        </w:tc>
        <w:tc>
          <w:tcPr>
            <w:tcW w:w="347" w:type="pct"/>
            <w:tcBorders>
              <w:tl2br w:val="nil"/>
              <w:tr2bl w:val="nil"/>
            </w:tcBorders>
            <w:vAlign w:val="center"/>
          </w:tcPr>
          <w:p w14:paraId="3158C210">
            <w:pPr>
              <w:rPr>
                <w:rFonts w:ascii="仿宋" w:hAnsi="仿宋" w:eastAsia="仿宋" w:cs="仿宋_GB2312"/>
                <w:color w:val="000000"/>
                <w:sz w:val="24"/>
              </w:rPr>
            </w:pPr>
          </w:p>
        </w:tc>
      </w:tr>
      <w:tr w14:paraId="797DF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3DDF5D74">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76912F03">
            <w:pPr>
              <w:widowControl/>
              <w:jc w:val="lef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3BD2BDEC">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574EA39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设备设施</w:t>
            </w:r>
          </w:p>
        </w:tc>
        <w:tc>
          <w:tcPr>
            <w:tcW w:w="469" w:type="pct"/>
            <w:tcBorders>
              <w:tl2br w:val="nil"/>
              <w:tr2bl w:val="nil"/>
            </w:tcBorders>
            <w:vAlign w:val="center"/>
          </w:tcPr>
          <w:p w14:paraId="1CCDC19E">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软连接含有的风险物质迁移</w:t>
            </w:r>
          </w:p>
        </w:tc>
        <w:tc>
          <w:tcPr>
            <w:tcW w:w="1025" w:type="pct"/>
            <w:tcBorders>
              <w:tl2br w:val="nil"/>
              <w:tr2bl w:val="nil"/>
            </w:tcBorders>
            <w:vAlign w:val="center"/>
          </w:tcPr>
          <w:p w14:paraId="78915DB9">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.软连接或输送管路材质含有塑化剂，导致塑化剂迁移至产品中；</w:t>
            </w:r>
          </w:p>
          <w:p w14:paraId="60673B73">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.设备维护保养、更换不及时，设备磨损部位产生脱落物。</w:t>
            </w:r>
          </w:p>
        </w:tc>
        <w:tc>
          <w:tcPr>
            <w:tcW w:w="1136" w:type="pct"/>
            <w:tcBorders>
              <w:tl2br w:val="nil"/>
              <w:tr2bl w:val="nil"/>
            </w:tcBorders>
            <w:vAlign w:val="center"/>
          </w:tcPr>
          <w:p w14:paraId="1ABE7B26">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.使用对产品无污染、无迁移危害材质的过滤器、喷枪软管、软连接、垫圈，需取得无污染物或无污染物迁移的检测报告、证明；</w:t>
            </w:r>
          </w:p>
          <w:p w14:paraId="522574D3">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.对所有泵、阀、接口等的密封圈定期拆卸检查并根据密封圈使用寿命及时更换；</w:t>
            </w:r>
          </w:p>
          <w:p w14:paraId="7CFE866A">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.根据设备情况制定设备维保计划并按照计划实施。</w:t>
            </w:r>
          </w:p>
        </w:tc>
        <w:tc>
          <w:tcPr>
            <w:tcW w:w="386" w:type="pct"/>
            <w:tcBorders>
              <w:tl2br w:val="nil"/>
              <w:tr2bl w:val="nil"/>
            </w:tcBorders>
            <w:vAlign w:val="center"/>
          </w:tcPr>
          <w:p w14:paraId="6890D11C">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每年</w:t>
            </w:r>
          </w:p>
        </w:tc>
        <w:tc>
          <w:tcPr>
            <w:tcW w:w="466" w:type="pct"/>
            <w:tcBorders>
              <w:tl2br w:val="nil"/>
              <w:tr2bl w:val="nil"/>
            </w:tcBorders>
            <w:vAlign w:val="center"/>
          </w:tcPr>
          <w:p w14:paraId="784A927E">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符合标准和内控要求</w:t>
            </w:r>
          </w:p>
        </w:tc>
        <w:tc>
          <w:tcPr>
            <w:tcW w:w="347" w:type="pct"/>
            <w:tcBorders>
              <w:tl2br w:val="nil"/>
              <w:tr2bl w:val="nil"/>
            </w:tcBorders>
            <w:vAlign w:val="center"/>
          </w:tcPr>
          <w:p w14:paraId="7E464434">
            <w:pPr>
              <w:rPr>
                <w:rFonts w:ascii="仿宋" w:hAnsi="仿宋" w:eastAsia="仿宋" w:cs="仿宋_GB2312"/>
                <w:color w:val="000000"/>
                <w:sz w:val="24"/>
              </w:rPr>
            </w:pPr>
          </w:p>
        </w:tc>
      </w:tr>
      <w:tr w14:paraId="33609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1067C30C">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275F3355">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39F7336E">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71D6314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车间环境</w:t>
            </w:r>
          </w:p>
        </w:tc>
        <w:tc>
          <w:tcPr>
            <w:tcW w:w="469" w:type="pct"/>
            <w:tcBorders>
              <w:tl2br w:val="nil"/>
              <w:tr2bl w:val="nil"/>
            </w:tcBorders>
            <w:vAlign w:val="center"/>
          </w:tcPr>
          <w:p w14:paraId="52B18A6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清洁作业区防止交叉污染管理</w:t>
            </w:r>
          </w:p>
        </w:tc>
        <w:tc>
          <w:tcPr>
            <w:tcW w:w="1025" w:type="pct"/>
            <w:tcBorders>
              <w:tl2br w:val="nil"/>
              <w:tr2bl w:val="nil"/>
            </w:tcBorders>
            <w:vAlign w:val="center"/>
          </w:tcPr>
          <w:p w14:paraId="3035BB27">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准清洁作业区、清洁作业区设置存在缺陷，未有效分隔，导致微生物等污染。</w:t>
            </w:r>
          </w:p>
        </w:tc>
        <w:tc>
          <w:tcPr>
            <w:tcW w:w="1136" w:type="pct"/>
            <w:tcBorders>
              <w:tl2br w:val="nil"/>
              <w:tr2bl w:val="nil"/>
            </w:tcBorders>
            <w:vAlign w:val="center"/>
          </w:tcPr>
          <w:p w14:paraId="368B396A">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.按规定划分生产区域：清洁作业区、准清洁作业区、一般作业区；</w:t>
            </w:r>
          </w:p>
          <w:p w14:paraId="28D42D4A">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.车间要封闭，洁净度不同的各级别生产区域之间要有效隔离；</w:t>
            </w:r>
          </w:p>
          <w:p w14:paraId="526BA6E9">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.洁净度不同的各级别生产车间人和物进出的门区域要有缓冲；</w:t>
            </w:r>
          </w:p>
          <w:p w14:paraId="3B587130">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.进入到洁净度不同的各级别生产车间的人流和物流要有相应的消毒程序，对物流消毒的紫外灯的有效性要定期做验证；</w:t>
            </w:r>
          </w:p>
          <w:p w14:paraId="7EC8E3A5">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5</w:t>
            </w:r>
            <w:r>
              <w:rPr>
                <w:rFonts w:hint="eastAsia" w:ascii="仿宋" w:hAnsi="仿宋" w:eastAsia="仿宋_GB2312" w:cs="仿宋_GB2312"/>
                <w:color w:val="000000"/>
                <w:kern w:val="0"/>
                <w:sz w:val="24"/>
                <w:lang w:bidi="ar"/>
              </w:rPr>
              <w:t>.准清洁作业区的环境卫生程度要有效监督；</w:t>
            </w:r>
          </w:p>
          <w:p w14:paraId="6FC26168">
            <w:pPr>
              <w:widowControl/>
              <w:spacing w:line="300" w:lineRule="exac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6</w:t>
            </w:r>
            <w:r>
              <w:rPr>
                <w:rFonts w:hint="eastAsia" w:ascii="仿宋" w:hAnsi="仿宋" w:eastAsia="仿宋_GB2312" w:cs="仿宋_GB2312"/>
                <w:color w:val="000000"/>
                <w:kern w:val="0"/>
                <w:sz w:val="24"/>
                <w:lang w:bidi="ar"/>
              </w:rPr>
              <w:t>.清洁作业区的人员、设备、环境的卫生状况要有效监督。</w:t>
            </w:r>
          </w:p>
        </w:tc>
        <w:tc>
          <w:tcPr>
            <w:tcW w:w="386" w:type="pct"/>
            <w:tcBorders>
              <w:tl2br w:val="nil"/>
              <w:tr2bl w:val="nil"/>
            </w:tcBorders>
            <w:vAlign w:val="center"/>
          </w:tcPr>
          <w:p w14:paraId="3FC9A048">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每周</w:t>
            </w:r>
          </w:p>
        </w:tc>
        <w:tc>
          <w:tcPr>
            <w:tcW w:w="466" w:type="pct"/>
            <w:tcBorders>
              <w:tl2br w:val="nil"/>
              <w:tr2bl w:val="nil"/>
            </w:tcBorders>
            <w:vAlign w:val="center"/>
          </w:tcPr>
          <w:p w14:paraId="17E9639F">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、《婴幼儿配方乳粉生产许可审查细则》和内控要求</w:t>
            </w:r>
          </w:p>
        </w:tc>
        <w:tc>
          <w:tcPr>
            <w:tcW w:w="347" w:type="pct"/>
            <w:tcBorders>
              <w:tl2br w:val="nil"/>
              <w:tr2bl w:val="nil"/>
            </w:tcBorders>
            <w:vAlign w:val="center"/>
          </w:tcPr>
          <w:p w14:paraId="7A4D99DD">
            <w:pPr>
              <w:rPr>
                <w:rFonts w:ascii="仿宋" w:hAnsi="仿宋" w:eastAsia="仿宋" w:cs="仿宋_GB2312"/>
                <w:color w:val="000000"/>
                <w:sz w:val="24"/>
              </w:rPr>
            </w:pPr>
          </w:p>
        </w:tc>
      </w:tr>
      <w:tr w14:paraId="35F77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3FFA101C">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1CAB3E4B">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01A8C6D3">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35AA3C5E">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车间环境</w:t>
            </w:r>
          </w:p>
        </w:tc>
        <w:tc>
          <w:tcPr>
            <w:tcW w:w="469" w:type="pct"/>
            <w:tcBorders>
              <w:tl2br w:val="nil"/>
              <w:tr2bl w:val="nil"/>
            </w:tcBorders>
            <w:vAlign w:val="center"/>
          </w:tcPr>
          <w:p w14:paraId="06A10B8E">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清洁作业区环境控制不当引起交叉污染</w:t>
            </w:r>
          </w:p>
        </w:tc>
        <w:tc>
          <w:tcPr>
            <w:tcW w:w="1025" w:type="pct"/>
            <w:tcBorders>
              <w:tl2br w:val="nil"/>
              <w:tr2bl w:val="nil"/>
            </w:tcBorders>
            <w:vAlign w:val="center"/>
          </w:tcPr>
          <w:p w14:paraId="7B13F4BA">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.微生物环境控制指标超标；</w:t>
            </w:r>
          </w:p>
          <w:p w14:paraId="76418AAD">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.压差不符合要求而引起空气倒灌。</w:t>
            </w:r>
          </w:p>
        </w:tc>
        <w:tc>
          <w:tcPr>
            <w:tcW w:w="1136" w:type="pct"/>
            <w:tcBorders>
              <w:tl2br w:val="nil"/>
              <w:tr2bl w:val="nil"/>
            </w:tcBorders>
            <w:vAlign w:val="center"/>
          </w:tcPr>
          <w:p w14:paraId="5808CF04">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.按照《婴幼儿配方乳粉生产许可审查细则》及</w:t>
            </w:r>
            <w:r>
              <w:rPr>
                <w:rFonts w:ascii="Times New Roman" w:hAnsi="Times New Roman" w:eastAsia="仿宋_GB2312" w:cs="仿宋_GB2312"/>
                <w:color w:val="000000"/>
                <w:kern w:val="0"/>
                <w:sz w:val="24"/>
                <w:lang w:bidi="ar"/>
              </w:rPr>
              <w:t>GB</w:t>
            </w:r>
            <w:r>
              <w:rPr>
                <w:rFonts w:ascii="仿宋" w:hAnsi="仿宋" w:eastAsia="仿宋_GB2312" w:cs="仿宋_GB2312"/>
                <w:color w:val="000000"/>
                <w:kern w:val="0"/>
                <w:sz w:val="24"/>
                <w:lang w:bidi="ar"/>
              </w:rPr>
              <w:t xml:space="preserve"> </w:t>
            </w:r>
            <w:r>
              <w:rPr>
                <w:rFonts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要求定期进行微生物环境控制；</w:t>
            </w:r>
          </w:p>
          <w:p w14:paraId="113AEC8D">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.监测清洁作业区与非清洁作业区压差，监测清洁作业区温度、湿度；检查清洁作业区和准清洁作业区入口自动关闭门是否完好，物流传送通道是否受控良好；</w:t>
            </w:r>
          </w:p>
          <w:p w14:paraId="7B89E409">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.按照规定更换清洁作业区供风空调机组的初效、中效、高效过滤器（亚高效空气过滤器），监测换气次数；</w:t>
            </w:r>
          </w:p>
          <w:p w14:paraId="2247702C">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.每年由有资质的第三方检测单位进行空气洁净度检测；</w:t>
            </w:r>
          </w:p>
          <w:p w14:paraId="45F99962">
            <w:pPr>
              <w:widowControl/>
              <w:spacing w:line="300" w:lineRule="exac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5</w:t>
            </w:r>
            <w:r>
              <w:rPr>
                <w:rFonts w:hint="eastAsia" w:ascii="仿宋" w:hAnsi="仿宋" w:eastAsia="仿宋_GB2312" w:cs="仿宋_GB2312"/>
                <w:color w:val="000000"/>
                <w:kern w:val="0"/>
                <w:sz w:val="24"/>
                <w:lang w:bidi="ar"/>
              </w:rPr>
              <w:t>.按要求执行空间杀菌消毒并进行验证。</w:t>
            </w:r>
          </w:p>
        </w:tc>
        <w:tc>
          <w:tcPr>
            <w:tcW w:w="386" w:type="pct"/>
            <w:tcBorders>
              <w:tl2br w:val="nil"/>
              <w:tr2bl w:val="nil"/>
            </w:tcBorders>
            <w:vAlign w:val="center"/>
          </w:tcPr>
          <w:p w14:paraId="3797E0FF">
            <w:pPr>
              <w:widowControl/>
              <w:jc w:val="center"/>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次每周；</w:t>
            </w:r>
          </w:p>
          <w:p w14:paraId="77F9C08A">
            <w:pPr>
              <w:widowControl/>
              <w:jc w:val="center"/>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次每班；</w:t>
            </w:r>
          </w:p>
          <w:p w14:paraId="6BEE1A72">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.每月或更换高效过滤器时</w:t>
            </w:r>
          </w:p>
        </w:tc>
        <w:tc>
          <w:tcPr>
            <w:tcW w:w="466" w:type="pct"/>
            <w:tcBorders>
              <w:tl2br w:val="nil"/>
              <w:tr2bl w:val="nil"/>
            </w:tcBorders>
            <w:vAlign w:val="center"/>
          </w:tcPr>
          <w:p w14:paraId="066E2C68">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、《婴幼儿配方乳粉生产许可审查细则》和内控要求</w:t>
            </w:r>
          </w:p>
        </w:tc>
        <w:tc>
          <w:tcPr>
            <w:tcW w:w="347" w:type="pct"/>
            <w:tcBorders>
              <w:tl2br w:val="nil"/>
              <w:tr2bl w:val="nil"/>
            </w:tcBorders>
            <w:vAlign w:val="center"/>
          </w:tcPr>
          <w:p w14:paraId="577F5A3B">
            <w:pPr>
              <w:rPr>
                <w:rFonts w:ascii="仿宋" w:hAnsi="仿宋" w:eastAsia="仿宋" w:cs="仿宋_GB2312"/>
                <w:color w:val="000000"/>
                <w:sz w:val="24"/>
              </w:rPr>
            </w:pPr>
          </w:p>
        </w:tc>
      </w:tr>
      <w:tr w14:paraId="2A077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0CA3FA56">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12264A87">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3E17AAAA">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5D0A8EF7">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人员管理</w:t>
            </w:r>
          </w:p>
        </w:tc>
        <w:tc>
          <w:tcPr>
            <w:tcW w:w="469" w:type="pct"/>
            <w:tcBorders>
              <w:tl2br w:val="nil"/>
              <w:tr2bl w:val="nil"/>
            </w:tcBorders>
            <w:vAlign w:val="center"/>
          </w:tcPr>
          <w:p w14:paraId="0E06960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清洁作业区人员卫生控制</w:t>
            </w:r>
          </w:p>
        </w:tc>
        <w:tc>
          <w:tcPr>
            <w:tcW w:w="1025" w:type="pct"/>
            <w:tcBorders>
              <w:tl2br w:val="nil"/>
              <w:tr2bl w:val="nil"/>
            </w:tcBorders>
            <w:vAlign w:val="center"/>
          </w:tcPr>
          <w:p w14:paraId="5F6F4927">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.进入清洁作业区人员携带致病微生物风险；</w:t>
            </w:r>
          </w:p>
          <w:p w14:paraId="6A24E435">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.洁净服清洁消毒不彻底或传递过程中再污染。</w:t>
            </w:r>
          </w:p>
        </w:tc>
        <w:tc>
          <w:tcPr>
            <w:tcW w:w="1136" w:type="pct"/>
            <w:tcBorders>
              <w:tl2br w:val="nil"/>
              <w:tr2bl w:val="nil"/>
            </w:tcBorders>
            <w:vAlign w:val="center"/>
          </w:tcPr>
          <w:p w14:paraId="2524B849">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.按照《婴幼儿配方乳粉生产许可审查细则》对进入清洁作业区外来人员进行表面微生物监测；</w:t>
            </w:r>
          </w:p>
          <w:p w14:paraId="3B73618F">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.洁净服、鞋清洗消毒及完好性验证；</w:t>
            </w:r>
          </w:p>
          <w:p w14:paraId="05AFFE13">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.洗衣室清洗消毒符合性检查；</w:t>
            </w:r>
          </w:p>
          <w:p w14:paraId="7E94FF0D">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.洁净服传递过程验证；</w:t>
            </w:r>
          </w:p>
          <w:p w14:paraId="37114E5E">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5</w:t>
            </w:r>
            <w:r>
              <w:rPr>
                <w:rFonts w:hint="eastAsia" w:ascii="仿宋" w:hAnsi="仿宋" w:eastAsia="仿宋_GB2312" w:cs="仿宋_GB2312"/>
                <w:color w:val="000000"/>
                <w:kern w:val="0"/>
                <w:sz w:val="24"/>
                <w:lang w:bidi="ar"/>
              </w:rPr>
              <w:t>.如未采取《婴幼儿配方乳粉生产许可审查细则》规定的人员更衣、换鞋一般程序，需对消毒效果验证，并对所采取程序与规定程序进行符合性抽查；</w:t>
            </w:r>
          </w:p>
          <w:p w14:paraId="5BB1DD56">
            <w:pPr>
              <w:widowControl/>
              <w:spacing w:line="300" w:lineRule="exac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6</w:t>
            </w:r>
            <w:r>
              <w:rPr>
                <w:rFonts w:hint="eastAsia" w:ascii="仿宋" w:hAnsi="仿宋" w:eastAsia="仿宋_GB2312" w:cs="仿宋_GB2312"/>
                <w:color w:val="000000"/>
                <w:kern w:val="0"/>
                <w:sz w:val="24"/>
                <w:lang w:bidi="ar"/>
              </w:rPr>
              <w:t>.人员洗手消毒符合性抽查。</w:t>
            </w:r>
          </w:p>
        </w:tc>
        <w:tc>
          <w:tcPr>
            <w:tcW w:w="386" w:type="pct"/>
            <w:tcBorders>
              <w:tl2br w:val="nil"/>
              <w:tr2bl w:val="nil"/>
            </w:tcBorders>
            <w:vAlign w:val="center"/>
          </w:tcPr>
          <w:p w14:paraId="2FC0663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定期/不定期</w:t>
            </w:r>
          </w:p>
        </w:tc>
        <w:tc>
          <w:tcPr>
            <w:tcW w:w="466" w:type="pct"/>
            <w:tcBorders>
              <w:tl2br w:val="nil"/>
              <w:tr2bl w:val="nil"/>
            </w:tcBorders>
            <w:vAlign w:val="center"/>
          </w:tcPr>
          <w:p w14:paraId="528663FF">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符合《婴幼儿配方乳粉生产许可审查细则》和内控要求</w:t>
            </w:r>
          </w:p>
        </w:tc>
        <w:tc>
          <w:tcPr>
            <w:tcW w:w="347" w:type="pct"/>
            <w:tcBorders>
              <w:tl2br w:val="nil"/>
              <w:tr2bl w:val="nil"/>
            </w:tcBorders>
            <w:vAlign w:val="center"/>
          </w:tcPr>
          <w:p w14:paraId="40FF801D">
            <w:pPr>
              <w:rPr>
                <w:rFonts w:ascii="仿宋" w:hAnsi="仿宋" w:eastAsia="仿宋" w:cs="仿宋_GB2312"/>
                <w:color w:val="000000"/>
                <w:sz w:val="24"/>
              </w:rPr>
            </w:pPr>
          </w:p>
        </w:tc>
      </w:tr>
      <w:tr w14:paraId="46E9F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32A4FCA6">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1C2327E3">
            <w:pPr>
              <w:widowControl/>
              <w:jc w:val="lef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372BF478">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51F4C1D5">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人员管理</w:t>
            </w:r>
          </w:p>
        </w:tc>
        <w:tc>
          <w:tcPr>
            <w:tcW w:w="469" w:type="pct"/>
            <w:tcBorders>
              <w:tl2br w:val="nil"/>
              <w:tr2bl w:val="nil"/>
            </w:tcBorders>
            <w:vAlign w:val="center"/>
          </w:tcPr>
          <w:p w14:paraId="1B87AEF8">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人员不良健康状况影响</w:t>
            </w:r>
          </w:p>
        </w:tc>
        <w:tc>
          <w:tcPr>
            <w:tcW w:w="1025" w:type="pct"/>
            <w:tcBorders>
              <w:tl2br w:val="nil"/>
              <w:tr2bl w:val="nil"/>
            </w:tcBorders>
            <w:vAlign w:val="center"/>
          </w:tcPr>
          <w:p w14:paraId="26D3D6F2">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从事直接接触食品的工作人员身体状况不符合相关规定而从事生产。</w:t>
            </w:r>
          </w:p>
        </w:tc>
        <w:tc>
          <w:tcPr>
            <w:tcW w:w="1136" w:type="pct"/>
            <w:tcBorders>
              <w:tl2br w:val="nil"/>
              <w:tr2bl w:val="nil"/>
            </w:tcBorders>
            <w:vAlign w:val="center"/>
          </w:tcPr>
          <w:p w14:paraId="086E95AE">
            <w:pPr>
              <w:widowControl/>
              <w:spacing w:line="300" w:lineRule="exac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从事直接接触食品的生产工作人员身体健康状况要每日例行汇报、例行检查，禁止患有痢疾（细菌性痢疾和痢疾带菌者）、伤寒（肠伤寒和肠伤寒带菌者）、肝炎（病毒性肝炎和带毒者）等消化道传染病（包括病原携带者）或者其他有碍食品安全的疾病或疾患的人员进入工作区。</w:t>
            </w:r>
          </w:p>
        </w:tc>
        <w:tc>
          <w:tcPr>
            <w:tcW w:w="386" w:type="pct"/>
            <w:tcBorders>
              <w:tl2br w:val="nil"/>
              <w:tr2bl w:val="nil"/>
            </w:tcBorders>
            <w:vAlign w:val="center"/>
          </w:tcPr>
          <w:p w14:paraId="01698B2F">
            <w:pPr>
              <w:widowControl/>
              <w:spacing w:line="300" w:lineRule="exact"/>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每天</w:t>
            </w:r>
          </w:p>
        </w:tc>
        <w:tc>
          <w:tcPr>
            <w:tcW w:w="466" w:type="pct"/>
            <w:tcBorders>
              <w:tl2br w:val="nil"/>
              <w:tr2bl w:val="nil"/>
            </w:tcBorders>
            <w:vAlign w:val="center"/>
          </w:tcPr>
          <w:p w14:paraId="4960AA22">
            <w:pPr>
              <w:widowControl/>
              <w:spacing w:line="300" w:lineRule="exact"/>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符合食品安全法律法规要求</w:t>
            </w:r>
          </w:p>
        </w:tc>
        <w:tc>
          <w:tcPr>
            <w:tcW w:w="347" w:type="pct"/>
            <w:tcBorders>
              <w:tl2br w:val="nil"/>
              <w:tr2bl w:val="nil"/>
            </w:tcBorders>
            <w:vAlign w:val="center"/>
          </w:tcPr>
          <w:p w14:paraId="2883F8C6">
            <w:pPr>
              <w:rPr>
                <w:rFonts w:ascii="仿宋" w:hAnsi="仿宋" w:eastAsia="仿宋" w:cs="仿宋_GB2312"/>
                <w:color w:val="000000"/>
                <w:sz w:val="24"/>
              </w:rPr>
            </w:pPr>
          </w:p>
        </w:tc>
      </w:tr>
      <w:tr w14:paraId="7CD5D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137EC5AF">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5C27332C">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44301389">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3883C2F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清洁消毒</w:t>
            </w:r>
          </w:p>
        </w:tc>
        <w:tc>
          <w:tcPr>
            <w:tcW w:w="469" w:type="pct"/>
            <w:tcBorders>
              <w:tl2br w:val="nil"/>
              <w:tr2bl w:val="nil"/>
            </w:tcBorders>
            <w:vAlign w:val="center"/>
          </w:tcPr>
          <w:p w14:paraId="1E10851A">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清洁消毒不彻底、产生交叉污染</w:t>
            </w:r>
          </w:p>
        </w:tc>
        <w:tc>
          <w:tcPr>
            <w:tcW w:w="1025" w:type="pct"/>
            <w:tcBorders>
              <w:tl2br w:val="nil"/>
              <w:tr2bl w:val="nil"/>
            </w:tcBorders>
            <w:vAlign w:val="center"/>
          </w:tcPr>
          <w:p w14:paraId="6B05FD3D">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清洁消毒不彻底，相关环节污染产品。</w:t>
            </w:r>
          </w:p>
        </w:tc>
        <w:tc>
          <w:tcPr>
            <w:tcW w:w="1136" w:type="pct"/>
            <w:tcBorders>
              <w:tl2br w:val="nil"/>
              <w:tr2bl w:val="nil"/>
            </w:tcBorders>
            <w:vAlign w:val="center"/>
          </w:tcPr>
          <w:p w14:paraId="0BF53F8D">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.臭氧消毒效果验证；</w:t>
            </w:r>
          </w:p>
          <w:p w14:paraId="038DFC75">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.检查紫外灯有无损坏，用紫外线强度指示卡验证紫外线强度；</w:t>
            </w:r>
          </w:p>
          <w:p w14:paraId="0A17AA0D">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.按管理制度要求清洁、消毒吸尘器；</w:t>
            </w:r>
          </w:p>
          <w:p w14:paraId="0CDB73A7">
            <w:pPr>
              <w:widowControl/>
              <w:spacing w:line="300" w:lineRule="exac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.清洁毛巾和非清洁毛巾分开放置，检查清洁毛巾材质；不同用途清洁毛巾用不同颜色区分且分开放置。</w:t>
            </w:r>
          </w:p>
        </w:tc>
        <w:tc>
          <w:tcPr>
            <w:tcW w:w="386" w:type="pct"/>
            <w:tcBorders>
              <w:tl2br w:val="nil"/>
              <w:tr2bl w:val="nil"/>
            </w:tcBorders>
            <w:vAlign w:val="center"/>
          </w:tcPr>
          <w:p w14:paraId="12FCDF3F">
            <w:pPr>
              <w:widowControl/>
              <w:spacing w:line="300" w:lineRule="exact"/>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定期/不定期</w:t>
            </w:r>
          </w:p>
        </w:tc>
        <w:tc>
          <w:tcPr>
            <w:tcW w:w="466" w:type="pct"/>
            <w:tcBorders>
              <w:tl2br w:val="nil"/>
              <w:tr2bl w:val="nil"/>
            </w:tcBorders>
            <w:vAlign w:val="center"/>
          </w:tcPr>
          <w:p w14:paraId="39FF7338">
            <w:pPr>
              <w:widowControl/>
              <w:spacing w:line="300" w:lineRule="exact"/>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符合标准和内控要求</w:t>
            </w:r>
          </w:p>
        </w:tc>
        <w:tc>
          <w:tcPr>
            <w:tcW w:w="347" w:type="pct"/>
            <w:tcBorders>
              <w:tl2br w:val="nil"/>
              <w:tr2bl w:val="nil"/>
            </w:tcBorders>
            <w:vAlign w:val="center"/>
          </w:tcPr>
          <w:p w14:paraId="24A0F758">
            <w:pPr>
              <w:rPr>
                <w:rFonts w:ascii="仿宋" w:hAnsi="仿宋" w:eastAsia="仿宋" w:cs="仿宋_GB2312"/>
                <w:color w:val="000000"/>
                <w:sz w:val="24"/>
              </w:rPr>
            </w:pPr>
          </w:p>
        </w:tc>
      </w:tr>
      <w:tr w14:paraId="04DDF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214908C8">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4D072BDA">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7AD9C488">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2250809A">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清洁消毒</w:t>
            </w:r>
          </w:p>
        </w:tc>
        <w:tc>
          <w:tcPr>
            <w:tcW w:w="469" w:type="pct"/>
            <w:tcBorders>
              <w:tl2br w:val="nil"/>
              <w:tr2bl w:val="nil"/>
            </w:tcBorders>
            <w:vAlign w:val="center"/>
          </w:tcPr>
          <w:p w14:paraId="11586326">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未达到消毒效果，以及消毒剂残留造成化学污染</w:t>
            </w:r>
          </w:p>
        </w:tc>
        <w:tc>
          <w:tcPr>
            <w:tcW w:w="1025" w:type="pct"/>
            <w:tcBorders>
              <w:tl2br w:val="nil"/>
              <w:tr2bl w:val="nil"/>
            </w:tcBorders>
            <w:vAlign w:val="center"/>
          </w:tcPr>
          <w:p w14:paraId="44ABAC35">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.消毒剂种类、浓度，消毒时间选择不当，消毒效果不符合要求；</w:t>
            </w:r>
          </w:p>
          <w:p w14:paraId="7F78D8A6">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.消毒剂残留带来化学污染。</w:t>
            </w:r>
          </w:p>
        </w:tc>
        <w:tc>
          <w:tcPr>
            <w:tcW w:w="1136" w:type="pct"/>
            <w:tcBorders>
              <w:tl2br w:val="nil"/>
              <w:tr2bl w:val="nil"/>
            </w:tcBorders>
            <w:vAlign w:val="center"/>
          </w:tcPr>
          <w:p w14:paraId="22B62EB4">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.消毒剂消毒效果验证；</w:t>
            </w:r>
          </w:p>
          <w:p w14:paraId="0A63C305">
            <w:pPr>
              <w:widowControl/>
              <w:spacing w:line="300" w:lineRule="exac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.消毒剂化学残留验证；</w:t>
            </w:r>
          </w:p>
          <w:p w14:paraId="466927EA">
            <w:pPr>
              <w:widowControl/>
              <w:spacing w:line="300" w:lineRule="exac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.消毒剂配制记录检查。</w:t>
            </w:r>
          </w:p>
        </w:tc>
        <w:tc>
          <w:tcPr>
            <w:tcW w:w="386" w:type="pct"/>
            <w:tcBorders>
              <w:tl2br w:val="nil"/>
              <w:tr2bl w:val="nil"/>
            </w:tcBorders>
            <w:vAlign w:val="center"/>
          </w:tcPr>
          <w:p w14:paraId="524D6D58">
            <w:pPr>
              <w:widowControl/>
              <w:spacing w:line="300" w:lineRule="exact"/>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定期/不定期</w:t>
            </w:r>
          </w:p>
        </w:tc>
        <w:tc>
          <w:tcPr>
            <w:tcW w:w="466" w:type="pct"/>
            <w:tcBorders>
              <w:tl2br w:val="nil"/>
              <w:tr2bl w:val="nil"/>
            </w:tcBorders>
            <w:vAlign w:val="center"/>
          </w:tcPr>
          <w:p w14:paraId="3E4AF527">
            <w:pPr>
              <w:widowControl/>
              <w:spacing w:line="300" w:lineRule="exact"/>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、《婴幼儿配方乳粉生产许可审查细则》和内控要求</w:t>
            </w:r>
          </w:p>
        </w:tc>
        <w:tc>
          <w:tcPr>
            <w:tcW w:w="347" w:type="pct"/>
            <w:tcBorders>
              <w:tl2br w:val="nil"/>
              <w:tr2bl w:val="nil"/>
            </w:tcBorders>
            <w:vAlign w:val="center"/>
          </w:tcPr>
          <w:p w14:paraId="1B75359C">
            <w:pPr>
              <w:rPr>
                <w:rFonts w:ascii="仿宋" w:hAnsi="仿宋" w:eastAsia="仿宋" w:cs="仿宋_GB2312"/>
                <w:color w:val="000000"/>
                <w:sz w:val="24"/>
              </w:rPr>
            </w:pPr>
          </w:p>
        </w:tc>
      </w:tr>
      <w:tr w14:paraId="09CBF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43F73AA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094BD4E0">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4C215FD4">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63DD349A">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生产过程</w:t>
            </w:r>
          </w:p>
        </w:tc>
        <w:tc>
          <w:tcPr>
            <w:tcW w:w="469" w:type="pct"/>
            <w:tcBorders>
              <w:tl2br w:val="nil"/>
              <w:tr2bl w:val="nil"/>
            </w:tcBorders>
            <w:vAlign w:val="center"/>
          </w:tcPr>
          <w:p w14:paraId="59E1C917">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化学污染</w:t>
            </w:r>
          </w:p>
        </w:tc>
        <w:tc>
          <w:tcPr>
            <w:tcW w:w="1025" w:type="pct"/>
            <w:tcBorders>
              <w:tl2br w:val="nil"/>
              <w:tr2bl w:val="nil"/>
            </w:tcBorders>
            <w:vAlign w:val="center"/>
          </w:tcPr>
          <w:p w14:paraId="34C2AD25">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洗涤剂、杀虫剂、润滑剂无防范措施引入化学污染。</w:t>
            </w:r>
          </w:p>
        </w:tc>
        <w:tc>
          <w:tcPr>
            <w:tcW w:w="1136" w:type="pct"/>
            <w:tcBorders>
              <w:tl2br w:val="nil"/>
              <w:tr2bl w:val="nil"/>
            </w:tcBorders>
            <w:vAlign w:val="center"/>
          </w:tcPr>
          <w:p w14:paraId="6345BC2B">
            <w:pPr>
              <w:widowControl/>
              <w:spacing w:line="300" w:lineRule="exac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检查洗涤剂、杀虫剂、润滑剂使用方式及过程是否满足控制污染的要求。</w:t>
            </w:r>
          </w:p>
        </w:tc>
        <w:tc>
          <w:tcPr>
            <w:tcW w:w="386" w:type="pct"/>
            <w:tcBorders>
              <w:tl2br w:val="nil"/>
              <w:tr2bl w:val="nil"/>
            </w:tcBorders>
            <w:vAlign w:val="center"/>
          </w:tcPr>
          <w:p w14:paraId="7C2BA3FC">
            <w:pPr>
              <w:widowControl/>
              <w:spacing w:line="300" w:lineRule="exact"/>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定期</w:t>
            </w:r>
          </w:p>
        </w:tc>
        <w:tc>
          <w:tcPr>
            <w:tcW w:w="466" w:type="pct"/>
            <w:tcBorders>
              <w:tl2br w:val="nil"/>
              <w:tr2bl w:val="nil"/>
            </w:tcBorders>
            <w:vAlign w:val="center"/>
          </w:tcPr>
          <w:p w14:paraId="6E9E900F">
            <w:pPr>
              <w:widowControl/>
              <w:spacing w:line="300" w:lineRule="exact"/>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符合《婴幼儿配方乳粉生产许可审查细则》和内控要求</w:t>
            </w:r>
          </w:p>
        </w:tc>
        <w:tc>
          <w:tcPr>
            <w:tcW w:w="347" w:type="pct"/>
            <w:tcBorders>
              <w:tl2br w:val="nil"/>
              <w:tr2bl w:val="nil"/>
            </w:tcBorders>
            <w:vAlign w:val="center"/>
          </w:tcPr>
          <w:p w14:paraId="5A50FEFA">
            <w:pPr>
              <w:rPr>
                <w:rFonts w:ascii="仿宋" w:hAnsi="仿宋" w:eastAsia="仿宋" w:cs="仿宋_GB2312"/>
                <w:color w:val="000000"/>
                <w:sz w:val="24"/>
              </w:rPr>
            </w:pPr>
          </w:p>
        </w:tc>
      </w:tr>
      <w:tr w14:paraId="6EEA2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70DA1A44">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20E1F477">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76783080">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基础风险</w:t>
            </w:r>
          </w:p>
        </w:tc>
        <w:tc>
          <w:tcPr>
            <w:tcW w:w="327" w:type="pct"/>
            <w:tcBorders>
              <w:tl2br w:val="nil"/>
              <w:tr2bl w:val="nil"/>
            </w:tcBorders>
            <w:vAlign w:val="center"/>
          </w:tcPr>
          <w:p w14:paraId="00514424">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湿法工艺原奶质量控制</w:t>
            </w:r>
          </w:p>
        </w:tc>
        <w:tc>
          <w:tcPr>
            <w:tcW w:w="469" w:type="pct"/>
            <w:tcBorders>
              <w:tl2br w:val="nil"/>
              <w:tr2bl w:val="nil"/>
            </w:tcBorders>
            <w:vAlign w:val="center"/>
          </w:tcPr>
          <w:p w14:paraId="20DB542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原奶挤奶、运输与储存</w:t>
            </w:r>
          </w:p>
        </w:tc>
        <w:tc>
          <w:tcPr>
            <w:tcW w:w="1025" w:type="pct"/>
            <w:tcBorders>
              <w:tl2br w:val="nil"/>
              <w:tr2bl w:val="nil"/>
            </w:tcBorders>
            <w:vAlign w:val="center"/>
          </w:tcPr>
          <w:p w14:paraId="7F070BF0">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牧场挤奶系统、奶车、软管清洗不洁净，以及原奶运输、暂存时间长、温度高等因素导致微生物繁殖。</w:t>
            </w:r>
          </w:p>
        </w:tc>
        <w:tc>
          <w:tcPr>
            <w:tcW w:w="1136" w:type="pct"/>
            <w:tcBorders>
              <w:tl2br w:val="nil"/>
              <w:tr2bl w:val="nil"/>
            </w:tcBorders>
            <w:vAlign w:val="center"/>
          </w:tcPr>
          <w:p w14:paraId="41BAAFE1">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.车辆必须为牧场备案车辆，卸奶后奶车必须及时进行</w:t>
            </w:r>
            <w:r>
              <w:rPr>
                <w:rFonts w:hint="eastAsia" w:ascii="Times New Roman" w:hAnsi="Times New Roman" w:eastAsia="仿宋_GB2312" w:cs="仿宋_GB2312"/>
                <w:color w:val="000000"/>
                <w:kern w:val="0"/>
                <w:sz w:val="24"/>
                <w:lang w:bidi="ar"/>
              </w:rPr>
              <w:t>CIP</w:t>
            </w:r>
            <w:r>
              <w:rPr>
                <w:rFonts w:hint="eastAsia" w:ascii="仿宋" w:hAnsi="仿宋" w:eastAsia="仿宋_GB2312" w:cs="仿宋_GB2312"/>
                <w:color w:val="000000"/>
                <w:kern w:val="0"/>
                <w:sz w:val="24"/>
                <w:lang w:bidi="ar"/>
              </w:rPr>
              <w:t>清洗并记录，且经验证合格；</w:t>
            </w:r>
          </w:p>
          <w:p w14:paraId="15691950">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.参照《婴幼儿配方乳粉生产许可审查细则》规定，巴氏杀菌前原则上贮存温度不超过</w:t>
            </w:r>
            <w:r>
              <w:rPr>
                <w:rFonts w:ascii="Times New Roman" w:hAnsi="Times New Roman" w:eastAsia="仿宋_GB2312" w:cs="仿宋_GB2312"/>
                <w:color w:val="000000"/>
                <w:kern w:val="0"/>
                <w:sz w:val="24"/>
                <w:lang w:bidi="ar"/>
              </w:rPr>
              <w:t>7</w:t>
            </w:r>
            <w:r>
              <w:rPr>
                <w:rFonts w:hint="eastAsia" w:ascii="仿宋" w:hAnsi="仿宋" w:eastAsia="仿宋_GB2312" w:cs="仿宋_GB2312"/>
                <w:color w:val="000000"/>
                <w:kern w:val="0"/>
                <w:sz w:val="24"/>
                <w:lang w:bidi="ar"/>
              </w:rPr>
              <w:t>℃，贮存时间不超过</w:t>
            </w:r>
            <w:r>
              <w:rPr>
                <w:rFonts w:ascii="Times New Roman" w:hAnsi="Times New Roman" w:eastAsia="仿宋_GB2312" w:cs="仿宋_GB2312"/>
                <w:color w:val="000000"/>
                <w:kern w:val="0"/>
                <w:sz w:val="24"/>
                <w:lang w:bidi="ar"/>
              </w:rPr>
              <w:t>24h</w:t>
            </w:r>
            <w:r>
              <w:rPr>
                <w:rFonts w:hint="eastAsia" w:ascii="仿宋" w:hAnsi="仿宋" w:eastAsia="仿宋_GB2312" w:cs="仿宋_GB2312"/>
                <w:color w:val="000000"/>
                <w:kern w:val="0"/>
                <w:sz w:val="24"/>
                <w:lang w:bidi="ar"/>
              </w:rPr>
              <w:t>，可评估验证后调整温度和时间；</w:t>
            </w:r>
          </w:p>
          <w:p w14:paraId="204A5D06">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.生乳挤奶后</w:t>
            </w: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小时内应降温至</w:t>
            </w:r>
            <w:r>
              <w:rPr>
                <w:rFonts w:hint="eastAsia" w:ascii="Times New Roman" w:hAnsi="Times New Roman" w:eastAsia="仿宋_GB2312" w:cs="仿宋_GB2312"/>
                <w:color w:val="000000"/>
                <w:kern w:val="0"/>
                <w:sz w:val="24"/>
                <w:lang w:bidi="ar"/>
              </w:rPr>
              <w:t>0</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℃；运输过程全程控温至到厂，奶温：</w:t>
            </w:r>
            <w:r>
              <w:rPr>
                <w:rFonts w:hint="eastAsia" w:ascii="Times New Roman" w:hAnsi="Times New Roman" w:eastAsia="仿宋_GB2312" w:cs="仿宋_GB2312"/>
                <w:color w:val="000000"/>
                <w:kern w:val="0"/>
                <w:sz w:val="24"/>
                <w:lang w:bidi="ar"/>
              </w:rPr>
              <w:t>0</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6</w:t>
            </w:r>
            <w:r>
              <w:rPr>
                <w:rFonts w:hint="eastAsia" w:ascii="仿宋" w:hAnsi="仿宋" w:eastAsia="仿宋_GB2312" w:cs="仿宋_GB2312"/>
                <w:color w:val="000000"/>
                <w:kern w:val="0"/>
                <w:sz w:val="24"/>
                <w:lang w:bidi="ar"/>
              </w:rPr>
              <w:t>℃；</w:t>
            </w:r>
          </w:p>
          <w:p w14:paraId="1B500AC5">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.制定生乳蜡样芽孢杆菌控制标准。</w:t>
            </w:r>
          </w:p>
        </w:tc>
        <w:tc>
          <w:tcPr>
            <w:tcW w:w="386" w:type="pct"/>
            <w:tcBorders>
              <w:tl2br w:val="nil"/>
              <w:tr2bl w:val="nil"/>
            </w:tcBorders>
            <w:vAlign w:val="center"/>
          </w:tcPr>
          <w:p w14:paraId="33F88BF9">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每车</w:t>
            </w:r>
          </w:p>
        </w:tc>
        <w:tc>
          <w:tcPr>
            <w:tcW w:w="466" w:type="pct"/>
            <w:tcBorders>
              <w:tl2br w:val="nil"/>
              <w:tr2bl w:val="nil"/>
            </w:tcBorders>
            <w:vAlign w:val="center"/>
          </w:tcPr>
          <w:p w14:paraId="61FC4BFA">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符合《婴幼儿配方乳粉生产许可审查细则》和内控要求</w:t>
            </w:r>
          </w:p>
        </w:tc>
        <w:tc>
          <w:tcPr>
            <w:tcW w:w="347" w:type="pct"/>
            <w:tcBorders>
              <w:tl2br w:val="nil"/>
              <w:tr2bl w:val="nil"/>
            </w:tcBorders>
            <w:vAlign w:val="center"/>
          </w:tcPr>
          <w:p w14:paraId="0E0C1F62">
            <w:pPr>
              <w:rPr>
                <w:rFonts w:ascii="仿宋" w:hAnsi="仿宋" w:eastAsia="仿宋" w:cs="仿宋_GB2312"/>
                <w:color w:val="000000"/>
                <w:sz w:val="24"/>
              </w:rPr>
            </w:pPr>
          </w:p>
        </w:tc>
      </w:tr>
      <w:tr w14:paraId="3F304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74765656">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2D0D3B13">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1BC75FC9">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282C62FD">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湿法工艺清洗系统</w:t>
            </w:r>
          </w:p>
        </w:tc>
        <w:tc>
          <w:tcPr>
            <w:tcW w:w="469" w:type="pct"/>
            <w:tcBorders>
              <w:tl2br w:val="nil"/>
              <w:tr2bl w:val="nil"/>
            </w:tcBorders>
            <w:vAlign w:val="center"/>
          </w:tcPr>
          <w:p w14:paraId="10345C40">
            <w:pPr>
              <w:widowControl/>
              <w:jc w:val="lef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CIP</w:t>
            </w:r>
            <w:r>
              <w:rPr>
                <w:rFonts w:hint="eastAsia" w:ascii="仿宋" w:hAnsi="仿宋" w:eastAsia="仿宋_GB2312" w:cs="仿宋_GB2312"/>
                <w:color w:val="000000"/>
                <w:kern w:val="0"/>
                <w:sz w:val="24"/>
                <w:lang w:bidi="ar"/>
              </w:rPr>
              <w:t>清洗</w:t>
            </w:r>
          </w:p>
        </w:tc>
        <w:tc>
          <w:tcPr>
            <w:tcW w:w="1025" w:type="pct"/>
            <w:tcBorders>
              <w:tl2br w:val="nil"/>
              <w:tr2bl w:val="nil"/>
            </w:tcBorders>
            <w:vAlign w:val="center"/>
          </w:tcPr>
          <w:p w14:paraId="113404D2">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.巴氏杀菌系统平衡缸清洗液残留，造成酸碱污染产品；</w:t>
            </w:r>
          </w:p>
          <w:p w14:paraId="613372C9">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.设备管道中清洗液残留，导致硝酸盐和亚硝酸盐超标；</w:t>
            </w:r>
          </w:p>
          <w:p w14:paraId="3D7F9DD0">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.清洗液中含氯酸盐类物质等引起污染；</w:t>
            </w:r>
          </w:p>
          <w:p w14:paraId="3444CD76">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.设备管路中蜡样芽孢杆菌残留量高而导致产品污染。</w:t>
            </w:r>
          </w:p>
        </w:tc>
        <w:tc>
          <w:tcPr>
            <w:tcW w:w="1136" w:type="pct"/>
            <w:tcBorders>
              <w:tl2br w:val="nil"/>
              <w:tr2bl w:val="nil"/>
            </w:tcBorders>
            <w:vAlign w:val="center"/>
          </w:tcPr>
          <w:p w14:paraId="23E8CE37">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CIP</w:t>
            </w:r>
            <w:r>
              <w:rPr>
                <w:rFonts w:hint="eastAsia" w:ascii="仿宋" w:hAnsi="仿宋" w:eastAsia="仿宋_GB2312" w:cs="仿宋_GB2312"/>
                <w:color w:val="000000"/>
                <w:kern w:val="0"/>
                <w:sz w:val="24"/>
                <w:lang w:bidi="ar"/>
              </w:rPr>
              <w:t>清洗后，检测巴杀系统及平衡缸中是否有酸碱残留；</w:t>
            </w:r>
          </w:p>
          <w:p w14:paraId="4A4147FE">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.清洗后每次验证清洗残液的</w:t>
            </w:r>
            <w:r>
              <w:rPr>
                <w:rFonts w:hint="eastAsia" w:ascii="Times New Roman" w:hAnsi="Times New Roman" w:eastAsia="仿宋_GB2312" w:cs="仿宋_GB2312"/>
                <w:color w:val="000000"/>
                <w:kern w:val="0"/>
                <w:sz w:val="24"/>
                <w:lang w:bidi="ar"/>
              </w:rPr>
              <w:t>pH</w:t>
            </w:r>
            <w:r>
              <w:rPr>
                <w:rFonts w:hint="eastAsia" w:ascii="仿宋" w:hAnsi="仿宋" w:eastAsia="仿宋_GB2312" w:cs="仿宋_GB2312"/>
                <w:color w:val="000000"/>
                <w:kern w:val="0"/>
                <w:sz w:val="24"/>
                <w:lang w:bidi="ar"/>
              </w:rPr>
              <w:t>值、定性验证硝酸盐和亚硝酸盐；</w:t>
            </w:r>
          </w:p>
          <w:p w14:paraId="60506668">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.选择无氯酸盐类物质清洗液或延长清洗时间并定期验证清洗残水；</w:t>
            </w:r>
          </w:p>
          <w:p w14:paraId="2DC7A5DE">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.采用过氧乙酸等有效清洁剂定期清洗、清洗后验证残液</w:t>
            </w:r>
            <w:r>
              <w:rPr>
                <w:rFonts w:hint="eastAsia" w:ascii="Times New Roman" w:hAnsi="Times New Roman" w:eastAsia="仿宋_GB2312" w:cs="仿宋_GB2312"/>
                <w:color w:val="000000"/>
                <w:kern w:val="0"/>
                <w:sz w:val="24"/>
                <w:lang w:bidi="ar"/>
              </w:rPr>
              <w:t>pH</w:t>
            </w:r>
            <w:r>
              <w:rPr>
                <w:rFonts w:hint="eastAsia" w:ascii="仿宋" w:hAnsi="仿宋" w:eastAsia="仿宋_GB2312" w:cs="仿宋_GB2312"/>
                <w:color w:val="000000"/>
                <w:kern w:val="0"/>
                <w:sz w:val="24"/>
                <w:lang w:bidi="ar"/>
              </w:rPr>
              <w:t>值至中性。</w:t>
            </w:r>
          </w:p>
        </w:tc>
        <w:tc>
          <w:tcPr>
            <w:tcW w:w="386" w:type="pct"/>
            <w:tcBorders>
              <w:tl2br w:val="nil"/>
              <w:tr2bl w:val="nil"/>
            </w:tcBorders>
            <w:vAlign w:val="center"/>
          </w:tcPr>
          <w:p w14:paraId="07516323">
            <w:pPr>
              <w:widowControl/>
              <w:jc w:val="lef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.每班；</w:t>
            </w:r>
          </w:p>
          <w:p w14:paraId="5E9324E0">
            <w:pPr>
              <w:widowControl/>
              <w:jc w:val="left"/>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.每半年；</w:t>
            </w:r>
          </w:p>
          <w:p w14:paraId="617434DE">
            <w:pPr>
              <w:widowControl/>
              <w:jc w:val="lef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.每周</w:t>
            </w:r>
          </w:p>
        </w:tc>
        <w:tc>
          <w:tcPr>
            <w:tcW w:w="466" w:type="pct"/>
            <w:tcBorders>
              <w:tl2br w:val="nil"/>
              <w:tr2bl w:val="nil"/>
            </w:tcBorders>
            <w:vAlign w:val="center"/>
          </w:tcPr>
          <w:p w14:paraId="56616211">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、《婴幼儿配方乳粉生产许可审查细则》和内控要求</w:t>
            </w:r>
          </w:p>
        </w:tc>
        <w:tc>
          <w:tcPr>
            <w:tcW w:w="347" w:type="pct"/>
            <w:tcBorders>
              <w:tl2br w:val="nil"/>
              <w:tr2bl w:val="nil"/>
            </w:tcBorders>
            <w:vAlign w:val="center"/>
          </w:tcPr>
          <w:p w14:paraId="738853BE">
            <w:pPr>
              <w:rPr>
                <w:rFonts w:ascii="仿宋" w:hAnsi="仿宋" w:eastAsia="仿宋" w:cs="仿宋_GB2312"/>
                <w:color w:val="000000"/>
                <w:sz w:val="24"/>
              </w:rPr>
            </w:pPr>
          </w:p>
        </w:tc>
      </w:tr>
      <w:tr w14:paraId="6C7FE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1EACB247">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2836A9CB">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5559C3F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21BADDE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阀体设备设施</w:t>
            </w:r>
          </w:p>
        </w:tc>
        <w:tc>
          <w:tcPr>
            <w:tcW w:w="469" w:type="pct"/>
            <w:tcBorders>
              <w:tl2br w:val="nil"/>
              <w:tr2bl w:val="nil"/>
            </w:tcBorders>
            <w:vAlign w:val="center"/>
          </w:tcPr>
          <w:p w14:paraId="186D7449">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防混阀泄漏</w:t>
            </w:r>
          </w:p>
        </w:tc>
        <w:tc>
          <w:tcPr>
            <w:tcW w:w="1025" w:type="pct"/>
            <w:tcBorders>
              <w:tl2br w:val="nil"/>
              <w:tr2bl w:val="nil"/>
            </w:tcBorders>
            <w:vAlign w:val="center"/>
          </w:tcPr>
          <w:p w14:paraId="216D35CE">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防混阀泄漏物料与酸碱交叉污染。</w:t>
            </w:r>
          </w:p>
        </w:tc>
        <w:tc>
          <w:tcPr>
            <w:tcW w:w="1136" w:type="pct"/>
            <w:tcBorders>
              <w:tl2br w:val="nil"/>
              <w:tr2bl w:val="nil"/>
            </w:tcBorders>
            <w:vAlign w:val="center"/>
          </w:tcPr>
          <w:p w14:paraId="03AA3E15">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.建立防混阀清单，划分风险等级，高风险防混阀每季度覆盖验证，中、低风险防混阀每年覆盖验证；</w:t>
            </w:r>
          </w:p>
          <w:p w14:paraId="42BDF722">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.月度覆盖排查各区域防混阀体动作与中控显示一致性，现场验证执行器与防混阀动作连接一致性，确认执行符合性；</w:t>
            </w:r>
          </w:p>
          <w:p w14:paraId="79F4D25C">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.每日</w:t>
            </w:r>
            <w:r>
              <w:rPr>
                <w:rFonts w:hint="eastAsia" w:ascii="Times New Roman" w:hAnsi="Times New Roman" w:eastAsia="仿宋_GB2312" w:cs="仿宋_GB2312"/>
                <w:color w:val="000000"/>
                <w:kern w:val="0"/>
                <w:sz w:val="24"/>
                <w:lang w:bidi="ar"/>
              </w:rPr>
              <w:t>CIP</w:t>
            </w:r>
            <w:r>
              <w:rPr>
                <w:rFonts w:hint="eastAsia" w:ascii="仿宋" w:hAnsi="仿宋" w:eastAsia="仿宋_GB2312" w:cs="仿宋_GB2312"/>
                <w:color w:val="000000"/>
                <w:kern w:val="0"/>
                <w:sz w:val="24"/>
                <w:lang w:bidi="ar"/>
              </w:rPr>
              <w:t>清洗时进行目视化检查高风险防混阀，对交叉的防混阀底部阀腔泄露及清洁情况进行检查，发现渗漏或疑似渗漏情况及时进行拆卸检查。</w:t>
            </w:r>
          </w:p>
        </w:tc>
        <w:tc>
          <w:tcPr>
            <w:tcW w:w="386" w:type="pct"/>
            <w:tcBorders>
              <w:tl2br w:val="nil"/>
              <w:tr2bl w:val="nil"/>
            </w:tcBorders>
            <w:vAlign w:val="center"/>
          </w:tcPr>
          <w:p w14:paraId="7753478A">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定期</w:t>
            </w:r>
          </w:p>
        </w:tc>
        <w:tc>
          <w:tcPr>
            <w:tcW w:w="466" w:type="pct"/>
            <w:tcBorders>
              <w:tl2br w:val="nil"/>
              <w:tr2bl w:val="nil"/>
            </w:tcBorders>
            <w:vAlign w:val="center"/>
          </w:tcPr>
          <w:p w14:paraId="4DF5A5C6">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符合内控要求</w:t>
            </w:r>
          </w:p>
        </w:tc>
        <w:tc>
          <w:tcPr>
            <w:tcW w:w="347" w:type="pct"/>
            <w:tcBorders>
              <w:tl2br w:val="nil"/>
              <w:tr2bl w:val="nil"/>
            </w:tcBorders>
            <w:vAlign w:val="center"/>
          </w:tcPr>
          <w:p w14:paraId="0ED81156">
            <w:pPr>
              <w:rPr>
                <w:rFonts w:ascii="仿宋" w:hAnsi="仿宋" w:eastAsia="仿宋" w:cs="仿宋_GB2312"/>
                <w:color w:val="000000"/>
                <w:sz w:val="24"/>
              </w:rPr>
            </w:pPr>
          </w:p>
        </w:tc>
      </w:tr>
      <w:tr w14:paraId="2D93A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1DC4676E">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662AF8B5">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6A6603AE">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5205940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湿法工艺原油验收过程</w:t>
            </w:r>
          </w:p>
        </w:tc>
        <w:tc>
          <w:tcPr>
            <w:tcW w:w="469" w:type="pct"/>
            <w:tcBorders>
              <w:tl2br w:val="nil"/>
              <w:tr2bl w:val="nil"/>
            </w:tcBorders>
            <w:vAlign w:val="center"/>
          </w:tcPr>
          <w:p w14:paraId="2B0DCAB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原油中三氯丙醇酯污染产品</w:t>
            </w:r>
          </w:p>
        </w:tc>
        <w:tc>
          <w:tcPr>
            <w:tcW w:w="1025" w:type="pct"/>
            <w:tcBorders>
              <w:tl2br w:val="nil"/>
              <w:tr2bl w:val="nil"/>
            </w:tcBorders>
            <w:vAlign w:val="center"/>
          </w:tcPr>
          <w:p w14:paraId="7F790C38">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原油中三氯丙醇酯含量过高，污染产品。</w:t>
            </w:r>
          </w:p>
        </w:tc>
        <w:tc>
          <w:tcPr>
            <w:tcW w:w="1136" w:type="pct"/>
            <w:tcBorders>
              <w:tl2br w:val="nil"/>
              <w:tr2bl w:val="nil"/>
            </w:tcBorders>
            <w:vAlign w:val="center"/>
          </w:tcPr>
          <w:p w14:paraId="5F552ADE">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控制三氯丙醇酯含量，验收供货方报告符合度或定期监测。</w:t>
            </w:r>
          </w:p>
        </w:tc>
        <w:tc>
          <w:tcPr>
            <w:tcW w:w="386" w:type="pct"/>
            <w:tcBorders>
              <w:tl2br w:val="nil"/>
              <w:tr2bl w:val="nil"/>
            </w:tcBorders>
            <w:vAlign w:val="center"/>
          </w:tcPr>
          <w:p w14:paraId="25B8948D">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每批</w:t>
            </w:r>
          </w:p>
        </w:tc>
        <w:tc>
          <w:tcPr>
            <w:tcW w:w="466" w:type="pct"/>
            <w:tcBorders>
              <w:tl2br w:val="nil"/>
              <w:tr2bl w:val="nil"/>
            </w:tcBorders>
            <w:vAlign w:val="center"/>
          </w:tcPr>
          <w:p w14:paraId="2A359C4B">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符合内控要求</w:t>
            </w:r>
          </w:p>
        </w:tc>
        <w:tc>
          <w:tcPr>
            <w:tcW w:w="347" w:type="pct"/>
            <w:tcBorders>
              <w:tl2br w:val="nil"/>
              <w:tr2bl w:val="nil"/>
            </w:tcBorders>
            <w:vAlign w:val="center"/>
          </w:tcPr>
          <w:p w14:paraId="6CB08B8C">
            <w:pPr>
              <w:jc w:val="left"/>
              <w:rPr>
                <w:rFonts w:ascii="仿宋" w:hAnsi="仿宋" w:eastAsia="仿宋" w:cs="仿宋_GB2312"/>
                <w:color w:val="000000"/>
                <w:sz w:val="24"/>
              </w:rPr>
            </w:pPr>
          </w:p>
        </w:tc>
      </w:tr>
      <w:tr w14:paraId="507B8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3AB8CA6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6C5E755D">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0021CFFE">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3B374BB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备料过程</w:t>
            </w:r>
          </w:p>
        </w:tc>
        <w:tc>
          <w:tcPr>
            <w:tcW w:w="469" w:type="pct"/>
            <w:tcBorders>
              <w:tl2br w:val="nil"/>
              <w:tr2bl w:val="nil"/>
            </w:tcBorders>
            <w:vAlign w:val="center"/>
          </w:tcPr>
          <w:p w14:paraId="36B36154">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仓库、备料区备料</w:t>
            </w:r>
          </w:p>
        </w:tc>
        <w:tc>
          <w:tcPr>
            <w:tcW w:w="1025" w:type="pct"/>
            <w:tcBorders>
              <w:tl2br w:val="nil"/>
              <w:tr2bl w:val="nil"/>
            </w:tcBorders>
            <w:vAlign w:val="center"/>
          </w:tcPr>
          <w:p w14:paraId="79B0D62E">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误选物料，导致物料错误使用。</w:t>
            </w:r>
          </w:p>
        </w:tc>
        <w:tc>
          <w:tcPr>
            <w:tcW w:w="1136" w:type="pct"/>
            <w:tcBorders>
              <w:tl2br w:val="nil"/>
              <w:tr2bl w:val="nil"/>
            </w:tcBorders>
            <w:vAlign w:val="center"/>
          </w:tcPr>
          <w:p w14:paraId="0B89B4EF">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.使用扫码追溯系统或双人复核，依据配料指令单，进行验收，确认合格状态，保证经系统或人工复核后，实际物料与配料指令单一致；</w:t>
            </w:r>
          </w:p>
          <w:p w14:paraId="3ADFF644">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.检查确认二维码标签信息或者生产指令单完整清晰，并且与配方的配料单信息一致。</w:t>
            </w:r>
          </w:p>
        </w:tc>
        <w:tc>
          <w:tcPr>
            <w:tcW w:w="386" w:type="pct"/>
            <w:tcBorders>
              <w:tl2br w:val="nil"/>
              <w:tr2bl w:val="nil"/>
            </w:tcBorders>
            <w:vAlign w:val="center"/>
          </w:tcPr>
          <w:p w14:paraId="1D4EEE89">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tcBorders>
              <w:tl2br w:val="nil"/>
              <w:tr2bl w:val="nil"/>
            </w:tcBorders>
            <w:vAlign w:val="center"/>
          </w:tcPr>
          <w:p w14:paraId="409AD770">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、《婴幼儿配方乳粉生产许可审查细则》和内控要求</w:t>
            </w:r>
          </w:p>
        </w:tc>
        <w:tc>
          <w:tcPr>
            <w:tcW w:w="347" w:type="pct"/>
            <w:tcBorders>
              <w:tl2br w:val="nil"/>
              <w:tr2bl w:val="nil"/>
            </w:tcBorders>
            <w:vAlign w:val="center"/>
          </w:tcPr>
          <w:p w14:paraId="184FB0A9">
            <w:pPr>
              <w:jc w:val="left"/>
              <w:rPr>
                <w:rFonts w:ascii="仿宋" w:hAnsi="仿宋" w:eastAsia="仿宋" w:cs="仿宋_GB2312"/>
                <w:color w:val="000000"/>
                <w:sz w:val="24"/>
              </w:rPr>
            </w:pPr>
          </w:p>
        </w:tc>
      </w:tr>
      <w:tr w14:paraId="6FE65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2BA69E37">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63ADC9DB">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122713DE">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20D82826">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备料过程</w:t>
            </w:r>
          </w:p>
        </w:tc>
        <w:tc>
          <w:tcPr>
            <w:tcW w:w="469" w:type="pct"/>
            <w:tcBorders>
              <w:tl2br w:val="nil"/>
              <w:tr2bl w:val="nil"/>
            </w:tcBorders>
            <w:vAlign w:val="center"/>
          </w:tcPr>
          <w:p w14:paraId="2C97142F">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物料称量</w:t>
            </w:r>
          </w:p>
        </w:tc>
        <w:tc>
          <w:tcPr>
            <w:tcW w:w="1025" w:type="pct"/>
            <w:tcBorders>
              <w:tl2br w:val="nil"/>
              <w:tr2bl w:val="nil"/>
            </w:tcBorders>
            <w:vAlign w:val="center"/>
          </w:tcPr>
          <w:p w14:paraId="707E700E">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物料称量不准确，不符合配方要求，导致产品质量异常。</w:t>
            </w:r>
          </w:p>
        </w:tc>
        <w:tc>
          <w:tcPr>
            <w:tcW w:w="1136" w:type="pct"/>
            <w:tcBorders>
              <w:tl2br w:val="nil"/>
              <w:tr2bl w:val="nil"/>
            </w:tcBorders>
            <w:vAlign w:val="center"/>
          </w:tcPr>
          <w:p w14:paraId="5187ACEF">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油脂、粉类、液体类根据添加量选择合适量程的称量秤，并对称量秤进行定期校核。</w:t>
            </w:r>
          </w:p>
        </w:tc>
        <w:tc>
          <w:tcPr>
            <w:tcW w:w="386" w:type="pct"/>
            <w:tcBorders>
              <w:tl2br w:val="nil"/>
              <w:tr2bl w:val="nil"/>
            </w:tcBorders>
            <w:vAlign w:val="center"/>
          </w:tcPr>
          <w:p w14:paraId="508917D0">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tcBorders>
              <w:tl2br w:val="nil"/>
              <w:tr2bl w:val="nil"/>
            </w:tcBorders>
            <w:vAlign w:val="center"/>
          </w:tcPr>
          <w:p w14:paraId="7166DF47">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、《婴幼儿配方乳粉生产许可审查细则》和内控要求</w:t>
            </w:r>
          </w:p>
        </w:tc>
        <w:tc>
          <w:tcPr>
            <w:tcW w:w="347" w:type="pct"/>
            <w:tcBorders>
              <w:tl2br w:val="nil"/>
              <w:tr2bl w:val="nil"/>
            </w:tcBorders>
            <w:vAlign w:val="center"/>
          </w:tcPr>
          <w:p w14:paraId="59244599">
            <w:pPr>
              <w:jc w:val="left"/>
              <w:rPr>
                <w:rFonts w:ascii="仿宋" w:hAnsi="仿宋" w:eastAsia="仿宋" w:cs="仿宋_GB2312"/>
                <w:color w:val="000000"/>
                <w:sz w:val="24"/>
              </w:rPr>
            </w:pPr>
          </w:p>
        </w:tc>
      </w:tr>
      <w:tr w14:paraId="27AEF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5FA7423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47161957">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1D6DDA6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1E6BD5AF">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湿法工艺混料过程</w:t>
            </w:r>
          </w:p>
        </w:tc>
        <w:tc>
          <w:tcPr>
            <w:tcW w:w="469" w:type="pct"/>
            <w:tcBorders>
              <w:tl2br w:val="nil"/>
              <w:tr2bl w:val="nil"/>
            </w:tcBorders>
            <w:vAlign w:val="center"/>
          </w:tcPr>
          <w:p w14:paraId="66256BB5">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混料过程硝酸盐、亚硝酸盐污染</w:t>
            </w:r>
          </w:p>
        </w:tc>
        <w:tc>
          <w:tcPr>
            <w:tcW w:w="1025" w:type="pct"/>
            <w:tcBorders>
              <w:tl2br w:val="nil"/>
              <w:tr2bl w:val="nil"/>
            </w:tcBorders>
            <w:vAlign w:val="center"/>
          </w:tcPr>
          <w:p w14:paraId="5E673C08">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生产用水不符合要求，导致产品中硝酸盐、亚硝酸盐指标异常。</w:t>
            </w:r>
          </w:p>
        </w:tc>
        <w:tc>
          <w:tcPr>
            <w:tcW w:w="1136" w:type="pct"/>
            <w:tcBorders>
              <w:tl2br w:val="nil"/>
              <w:tr2bl w:val="nil"/>
            </w:tcBorders>
            <w:vAlign w:val="center"/>
          </w:tcPr>
          <w:p w14:paraId="173FFBFF">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.混料前定性法测定配料用水中的硝酸盐、亚硝酸盐；</w:t>
            </w:r>
          </w:p>
          <w:p w14:paraId="23CD9C38">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.混料温度、真空度、液位未达到设定值不得启动系统。</w:t>
            </w:r>
          </w:p>
        </w:tc>
        <w:tc>
          <w:tcPr>
            <w:tcW w:w="386" w:type="pct"/>
            <w:tcBorders>
              <w:tl2br w:val="nil"/>
              <w:tr2bl w:val="nil"/>
            </w:tcBorders>
            <w:vAlign w:val="center"/>
          </w:tcPr>
          <w:p w14:paraId="70C03F5F">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tcBorders>
              <w:tl2br w:val="nil"/>
              <w:tr2bl w:val="nil"/>
            </w:tcBorders>
            <w:vAlign w:val="center"/>
          </w:tcPr>
          <w:p w14:paraId="268B0416">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、《婴幼儿配方乳粉生产许可审查细则》和内控要求</w:t>
            </w:r>
          </w:p>
        </w:tc>
        <w:tc>
          <w:tcPr>
            <w:tcW w:w="347" w:type="pct"/>
            <w:tcBorders>
              <w:tl2br w:val="nil"/>
              <w:tr2bl w:val="nil"/>
            </w:tcBorders>
            <w:vAlign w:val="center"/>
          </w:tcPr>
          <w:p w14:paraId="58E98D48">
            <w:pPr>
              <w:jc w:val="left"/>
              <w:rPr>
                <w:rFonts w:ascii="仿宋" w:hAnsi="仿宋" w:eastAsia="仿宋" w:cs="仿宋_GB2312"/>
                <w:color w:val="000000"/>
                <w:sz w:val="24"/>
              </w:rPr>
            </w:pPr>
          </w:p>
        </w:tc>
      </w:tr>
      <w:tr w14:paraId="4AE31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5F433A4F">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67F25103">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2349E369">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7E1588D8">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湿法工艺浓缩过程</w:t>
            </w:r>
          </w:p>
        </w:tc>
        <w:tc>
          <w:tcPr>
            <w:tcW w:w="469" w:type="pct"/>
            <w:tcBorders>
              <w:tl2br w:val="nil"/>
              <w:tr2bl w:val="nil"/>
            </w:tcBorders>
            <w:vAlign w:val="center"/>
          </w:tcPr>
          <w:p w14:paraId="2EE2E552">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浓缩过程硝酸盐、亚硝酸盐污染</w:t>
            </w:r>
          </w:p>
        </w:tc>
        <w:tc>
          <w:tcPr>
            <w:tcW w:w="1025" w:type="pct"/>
            <w:tcBorders>
              <w:tl2br w:val="nil"/>
              <w:tr2bl w:val="nil"/>
            </w:tcBorders>
            <w:vAlign w:val="center"/>
          </w:tcPr>
          <w:p w14:paraId="37815670">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浓缩生产开机或停机时，使用生产用水冲顶管路，把水中含有的硝酸盐、亚硝酸盐引入产品。</w:t>
            </w:r>
          </w:p>
        </w:tc>
        <w:tc>
          <w:tcPr>
            <w:tcW w:w="1136" w:type="pct"/>
            <w:tcBorders>
              <w:tl2br w:val="nil"/>
              <w:tr2bl w:val="nil"/>
            </w:tcBorders>
            <w:vAlign w:val="center"/>
          </w:tcPr>
          <w:p w14:paraId="49121044">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.浓缩生产前顶水采用在线生产用水，顶水管路不得有死水（残水、上班余水）积存；</w:t>
            </w:r>
          </w:p>
          <w:p w14:paraId="72279B0A">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.顶水后监测浓奶杂质度、硝酸盐、亚硝酸盐；</w:t>
            </w:r>
          </w:p>
          <w:p w14:paraId="584E85F2">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.断料前需对顶奶水进行排地处理。</w:t>
            </w:r>
          </w:p>
        </w:tc>
        <w:tc>
          <w:tcPr>
            <w:tcW w:w="386" w:type="pct"/>
            <w:tcBorders>
              <w:tl2br w:val="nil"/>
              <w:tr2bl w:val="nil"/>
            </w:tcBorders>
            <w:vAlign w:val="center"/>
          </w:tcPr>
          <w:p w14:paraId="16BF50A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tcBorders>
              <w:tl2br w:val="nil"/>
              <w:tr2bl w:val="nil"/>
            </w:tcBorders>
            <w:vAlign w:val="center"/>
          </w:tcPr>
          <w:p w14:paraId="7A6BC969">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符合内控要求</w:t>
            </w:r>
          </w:p>
        </w:tc>
        <w:tc>
          <w:tcPr>
            <w:tcW w:w="347" w:type="pct"/>
            <w:tcBorders>
              <w:tl2br w:val="nil"/>
              <w:tr2bl w:val="nil"/>
            </w:tcBorders>
            <w:vAlign w:val="center"/>
          </w:tcPr>
          <w:p w14:paraId="7B7C131A">
            <w:pPr>
              <w:jc w:val="left"/>
              <w:rPr>
                <w:rFonts w:ascii="仿宋" w:hAnsi="仿宋" w:eastAsia="仿宋" w:cs="仿宋_GB2312"/>
                <w:color w:val="000000"/>
                <w:sz w:val="24"/>
              </w:rPr>
            </w:pPr>
          </w:p>
        </w:tc>
      </w:tr>
      <w:tr w14:paraId="5E711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417CFB4D">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085D701E">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7A38798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0E1A3951">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湿法工艺浓缩过程</w:t>
            </w:r>
          </w:p>
        </w:tc>
        <w:tc>
          <w:tcPr>
            <w:tcW w:w="469" w:type="pct"/>
            <w:tcBorders>
              <w:tl2br w:val="nil"/>
              <w:tr2bl w:val="nil"/>
            </w:tcBorders>
            <w:vAlign w:val="center"/>
          </w:tcPr>
          <w:p w14:paraId="058336A4">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浓奶微生物繁殖</w:t>
            </w:r>
          </w:p>
        </w:tc>
        <w:tc>
          <w:tcPr>
            <w:tcW w:w="1025" w:type="pct"/>
            <w:tcBorders>
              <w:tl2br w:val="nil"/>
              <w:tr2bl w:val="nil"/>
            </w:tcBorders>
            <w:vAlign w:val="center"/>
          </w:tcPr>
          <w:p w14:paraId="75A9CDC4">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浓奶在容器内储存时间长，微生物繁殖而污染产品。</w:t>
            </w:r>
          </w:p>
        </w:tc>
        <w:tc>
          <w:tcPr>
            <w:tcW w:w="1136" w:type="pct"/>
            <w:tcBorders>
              <w:tl2br w:val="nil"/>
              <w:tr2bl w:val="nil"/>
            </w:tcBorders>
            <w:vAlign w:val="center"/>
          </w:tcPr>
          <w:p w14:paraId="42051D26">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浓奶暂存超过</w:t>
            </w: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小时，需返输送到前处理稀释，制冷，暂存。</w:t>
            </w:r>
          </w:p>
        </w:tc>
        <w:tc>
          <w:tcPr>
            <w:tcW w:w="386" w:type="pct"/>
            <w:tcBorders>
              <w:tl2br w:val="nil"/>
              <w:tr2bl w:val="nil"/>
            </w:tcBorders>
            <w:vAlign w:val="center"/>
          </w:tcPr>
          <w:p w14:paraId="7619D2EA">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tcBorders>
              <w:tl2br w:val="nil"/>
              <w:tr2bl w:val="nil"/>
            </w:tcBorders>
            <w:vAlign w:val="center"/>
          </w:tcPr>
          <w:p w14:paraId="58C4EC7D">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符合内控要求</w:t>
            </w:r>
          </w:p>
        </w:tc>
        <w:tc>
          <w:tcPr>
            <w:tcW w:w="347" w:type="pct"/>
            <w:tcBorders>
              <w:tl2br w:val="nil"/>
              <w:tr2bl w:val="nil"/>
            </w:tcBorders>
            <w:vAlign w:val="center"/>
          </w:tcPr>
          <w:p w14:paraId="00E3BEE2">
            <w:pPr>
              <w:jc w:val="left"/>
              <w:rPr>
                <w:rFonts w:ascii="仿宋" w:hAnsi="仿宋" w:eastAsia="仿宋" w:cs="仿宋_GB2312"/>
                <w:color w:val="000000"/>
                <w:sz w:val="24"/>
              </w:rPr>
            </w:pPr>
          </w:p>
        </w:tc>
      </w:tr>
      <w:tr w14:paraId="28899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6C5F9BA4">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0017534E">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2073D5AD">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3BBEA33F">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湿法工艺干燥过程</w:t>
            </w:r>
          </w:p>
        </w:tc>
        <w:tc>
          <w:tcPr>
            <w:tcW w:w="469" w:type="pct"/>
            <w:tcBorders>
              <w:tl2br w:val="nil"/>
              <w:tr2bl w:val="nil"/>
            </w:tcBorders>
            <w:vAlign w:val="center"/>
          </w:tcPr>
          <w:p w14:paraId="05A94BFB">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进风过滤器带入致病微生物和杂质</w:t>
            </w:r>
          </w:p>
        </w:tc>
        <w:tc>
          <w:tcPr>
            <w:tcW w:w="1025" w:type="pct"/>
            <w:tcBorders>
              <w:tl2br w:val="nil"/>
              <w:tr2bl w:val="nil"/>
            </w:tcBorders>
            <w:vAlign w:val="center"/>
          </w:tcPr>
          <w:p w14:paraId="0BB09EFB">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.流化床进风过滤器破损，导致进风中黑点、杂质进入；</w:t>
            </w:r>
          </w:p>
          <w:p w14:paraId="07C5D546">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.进风过滤器破损，无法对致病性微生物进行截留。</w:t>
            </w:r>
          </w:p>
        </w:tc>
        <w:tc>
          <w:tcPr>
            <w:tcW w:w="1136" w:type="pct"/>
            <w:tcBorders>
              <w:tl2br w:val="nil"/>
              <w:tr2bl w:val="nil"/>
            </w:tcBorders>
            <w:vAlign w:val="center"/>
          </w:tcPr>
          <w:p w14:paraId="61B6BDBA">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按使用周期或过滤器压差变化更换过滤器（采用二者中更严的要求）。</w:t>
            </w:r>
          </w:p>
        </w:tc>
        <w:tc>
          <w:tcPr>
            <w:tcW w:w="386" w:type="pct"/>
            <w:tcBorders>
              <w:tl2br w:val="nil"/>
              <w:tr2bl w:val="nil"/>
            </w:tcBorders>
            <w:vAlign w:val="center"/>
          </w:tcPr>
          <w:p w14:paraId="025AC907">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定期</w:t>
            </w:r>
          </w:p>
        </w:tc>
        <w:tc>
          <w:tcPr>
            <w:tcW w:w="466" w:type="pct"/>
            <w:tcBorders>
              <w:tl2br w:val="nil"/>
              <w:tr2bl w:val="nil"/>
            </w:tcBorders>
            <w:vAlign w:val="center"/>
          </w:tcPr>
          <w:p w14:paraId="3D651CB2">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符合内控要求</w:t>
            </w:r>
          </w:p>
        </w:tc>
        <w:tc>
          <w:tcPr>
            <w:tcW w:w="347" w:type="pct"/>
            <w:tcBorders>
              <w:tl2br w:val="nil"/>
              <w:tr2bl w:val="nil"/>
            </w:tcBorders>
            <w:vAlign w:val="center"/>
          </w:tcPr>
          <w:p w14:paraId="70BDF281">
            <w:pPr>
              <w:jc w:val="left"/>
              <w:rPr>
                <w:rFonts w:ascii="仿宋" w:hAnsi="仿宋" w:eastAsia="仿宋" w:cs="仿宋_GB2312"/>
                <w:color w:val="000000"/>
                <w:sz w:val="24"/>
              </w:rPr>
            </w:pPr>
          </w:p>
        </w:tc>
      </w:tr>
      <w:tr w14:paraId="35003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574606D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74CFE8DC">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0423627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7C755BEA">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湿法工艺干燥过程</w:t>
            </w:r>
          </w:p>
        </w:tc>
        <w:tc>
          <w:tcPr>
            <w:tcW w:w="469" w:type="pct"/>
            <w:tcBorders>
              <w:tl2br w:val="nil"/>
              <w:tr2bl w:val="nil"/>
            </w:tcBorders>
            <w:vAlign w:val="center"/>
          </w:tcPr>
          <w:p w14:paraId="7C522B15">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流化床入孔开启引入致病性微生物</w:t>
            </w:r>
          </w:p>
        </w:tc>
        <w:tc>
          <w:tcPr>
            <w:tcW w:w="1025" w:type="pct"/>
            <w:tcBorders>
              <w:tl2br w:val="nil"/>
              <w:tr2bl w:val="nil"/>
            </w:tcBorders>
            <w:vAlign w:val="center"/>
          </w:tcPr>
          <w:p w14:paraId="4EC9D6C2">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开启流化床入孔时，内部与环境相通造成致病性微生物交叉污染。</w:t>
            </w:r>
          </w:p>
        </w:tc>
        <w:tc>
          <w:tcPr>
            <w:tcW w:w="1136" w:type="pct"/>
            <w:tcBorders>
              <w:tl2br w:val="nil"/>
              <w:tr2bl w:val="nil"/>
            </w:tcBorders>
            <w:vAlign w:val="center"/>
          </w:tcPr>
          <w:p w14:paraId="44796CD3">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原则上生产过程静态流化床禁止打开，必需打开时需对工器具消毒，扩大产品验证。</w:t>
            </w:r>
          </w:p>
        </w:tc>
        <w:tc>
          <w:tcPr>
            <w:tcW w:w="386" w:type="pct"/>
            <w:tcBorders>
              <w:tl2br w:val="nil"/>
              <w:tr2bl w:val="nil"/>
            </w:tcBorders>
            <w:vAlign w:val="center"/>
          </w:tcPr>
          <w:p w14:paraId="15CF9327">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tcBorders>
              <w:tl2br w:val="nil"/>
              <w:tr2bl w:val="nil"/>
            </w:tcBorders>
            <w:vAlign w:val="center"/>
          </w:tcPr>
          <w:p w14:paraId="381C4064">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符合内控要求</w:t>
            </w:r>
          </w:p>
        </w:tc>
        <w:tc>
          <w:tcPr>
            <w:tcW w:w="347" w:type="pct"/>
            <w:tcBorders>
              <w:tl2br w:val="nil"/>
              <w:tr2bl w:val="nil"/>
            </w:tcBorders>
            <w:vAlign w:val="center"/>
          </w:tcPr>
          <w:p w14:paraId="668130F1">
            <w:pPr>
              <w:jc w:val="left"/>
              <w:rPr>
                <w:rFonts w:ascii="仿宋" w:hAnsi="仿宋" w:eastAsia="仿宋" w:cs="仿宋_GB2312"/>
                <w:color w:val="000000"/>
                <w:sz w:val="24"/>
              </w:rPr>
            </w:pPr>
          </w:p>
        </w:tc>
      </w:tr>
      <w:tr w14:paraId="2A4D5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restart"/>
            <w:tcBorders>
              <w:tl2br w:val="nil"/>
              <w:tr2bl w:val="nil"/>
            </w:tcBorders>
            <w:vAlign w:val="center"/>
          </w:tcPr>
          <w:p w14:paraId="5CBA9720">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vMerge w:val="restart"/>
            <w:tcBorders>
              <w:tl2br w:val="nil"/>
              <w:tr2bl w:val="nil"/>
            </w:tcBorders>
            <w:vAlign w:val="center"/>
          </w:tcPr>
          <w:p w14:paraId="2163AE91">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vMerge w:val="restart"/>
            <w:tcBorders>
              <w:tl2br w:val="nil"/>
              <w:tr2bl w:val="nil"/>
            </w:tcBorders>
            <w:vAlign w:val="center"/>
          </w:tcPr>
          <w:p w14:paraId="5228BCA1">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vMerge w:val="restart"/>
            <w:tcBorders>
              <w:tl2br w:val="nil"/>
              <w:tr2bl w:val="nil"/>
            </w:tcBorders>
            <w:vAlign w:val="center"/>
          </w:tcPr>
          <w:p w14:paraId="57E3E95C">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生产指令单下达</w:t>
            </w:r>
          </w:p>
        </w:tc>
        <w:tc>
          <w:tcPr>
            <w:tcW w:w="469" w:type="pct"/>
            <w:vMerge w:val="restart"/>
            <w:tcBorders>
              <w:tl2br w:val="nil"/>
              <w:tr2bl w:val="nil"/>
            </w:tcBorders>
            <w:vAlign w:val="center"/>
          </w:tcPr>
          <w:p w14:paraId="4DCBC074">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错误下达生产指令单</w:t>
            </w:r>
          </w:p>
        </w:tc>
        <w:tc>
          <w:tcPr>
            <w:tcW w:w="1025" w:type="pct"/>
            <w:tcBorders>
              <w:bottom w:val="single" w:color="auto" w:sz="4" w:space="0"/>
              <w:tl2br w:val="nil"/>
              <w:tr2bl w:val="nil"/>
            </w:tcBorders>
            <w:vAlign w:val="center"/>
          </w:tcPr>
          <w:p w14:paraId="2F7C683C">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.因原辅料到货检验不及时，或者预警信息未识别，信息传递疏漏，而使用有质量风险的原辅料；</w:t>
            </w:r>
          </w:p>
        </w:tc>
        <w:tc>
          <w:tcPr>
            <w:tcW w:w="1136" w:type="pct"/>
            <w:tcBorders>
              <w:bottom w:val="single" w:color="auto" w:sz="4" w:space="0"/>
              <w:tl2br w:val="nil"/>
              <w:tr2bl w:val="nil"/>
            </w:tcBorders>
            <w:vAlign w:val="center"/>
          </w:tcPr>
          <w:p w14:paraId="27F6DB81">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产前对理论测算结果进行复核确认；</w:t>
            </w:r>
          </w:p>
          <w:p w14:paraId="24BEF1A4">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建立进货查验制度或预警信息传递上报流程，第一时间反馈或重点预警信息评价反馈；</w:t>
            </w:r>
          </w:p>
          <w:p w14:paraId="0E6B5EA5">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生产前理论测算微量元素，研判风险或历史预警信息、</w:t>
            </w:r>
            <w:r>
              <w:rPr>
                <w:rFonts w:hint="eastAsia" w:ascii="Times New Roman" w:hAnsi="Times New Roman" w:eastAsia="仿宋_GB2312" w:cs="仿宋_GB2312"/>
                <w:color w:val="000000"/>
                <w:kern w:val="0"/>
                <w:sz w:val="24"/>
                <w:lang w:bidi="ar"/>
              </w:rPr>
              <w:t>SPC</w:t>
            </w:r>
            <w:r>
              <w:rPr>
                <w:rFonts w:hint="eastAsia" w:ascii="仿宋" w:hAnsi="仿宋" w:eastAsia="仿宋_GB2312" w:cs="仿宋_GB2312"/>
                <w:color w:val="000000"/>
                <w:kern w:val="0"/>
                <w:sz w:val="24"/>
                <w:lang w:bidi="ar"/>
              </w:rPr>
              <w:t>报警信息，如果存在风险不得投入使用；</w:t>
            </w:r>
          </w:p>
          <w:p w14:paraId="4D3FCB7C">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微生物检验超标或指标红点报警（控制图异常），需提前研判或预警，未经评价不得生产；</w:t>
            </w:r>
          </w:p>
        </w:tc>
        <w:tc>
          <w:tcPr>
            <w:tcW w:w="386" w:type="pct"/>
            <w:vMerge w:val="restart"/>
            <w:tcBorders>
              <w:tl2br w:val="nil"/>
              <w:tr2bl w:val="nil"/>
            </w:tcBorders>
            <w:vAlign w:val="center"/>
          </w:tcPr>
          <w:p w14:paraId="1A8A08F9">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vMerge w:val="restart"/>
            <w:tcBorders>
              <w:tl2br w:val="nil"/>
              <w:tr2bl w:val="nil"/>
            </w:tcBorders>
            <w:vAlign w:val="center"/>
          </w:tcPr>
          <w:p w14:paraId="4BBAB556">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、《婴幼儿配方乳粉生产许可审查细则》和内控要求</w:t>
            </w:r>
          </w:p>
        </w:tc>
        <w:tc>
          <w:tcPr>
            <w:tcW w:w="347" w:type="pct"/>
            <w:vMerge w:val="restart"/>
            <w:tcBorders>
              <w:tl2br w:val="nil"/>
              <w:tr2bl w:val="nil"/>
            </w:tcBorders>
            <w:vAlign w:val="center"/>
          </w:tcPr>
          <w:p w14:paraId="08E01EBC">
            <w:pPr>
              <w:jc w:val="left"/>
              <w:rPr>
                <w:rFonts w:ascii="仿宋" w:hAnsi="仿宋" w:eastAsia="仿宋" w:cs="仿宋_GB2312"/>
                <w:color w:val="000000"/>
                <w:sz w:val="24"/>
              </w:rPr>
            </w:pPr>
          </w:p>
        </w:tc>
      </w:tr>
      <w:tr w14:paraId="2BDF5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continue"/>
            <w:tcBorders>
              <w:tl2br w:val="nil"/>
              <w:tr2bl w:val="nil"/>
            </w:tcBorders>
            <w:vAlign w:val="center"/>
          </w:tcPr>
          <w:p w14:paraId="4025C403">
            <w:pPr>
              <w:widowControl/>
              <w:jc w:val="center"/>
              <w:textAlignment w:val="center"/>
              <w:rPr>
                <w:rFonts w:ascii="仿宋" w:hAnsi="仿宋" w:eastAsia="仿宋_GB2312" w:cs="仿宋_GB2312"/>
                <w:color w:val="000000"/>
                <w:kern w:val="0"/>
                <w:sz w:val="24"/>
                <w:lang w:bidi="ar"/>
              </w:rPr>
            </w:pPr>
          </w:p>
        </w:tc>
        <w:tc>
          <w:tcPr>
            <w:tcW w:w="277" w:type="pct"/>
            <w:vMerge w:val="continue"/>
            <w:tcBorders>
              <w:tl2br w:val="nil"/>
              <w:tr2bl w:val="nil"/>
            </w:tcBorders>
            <w:vAlign w:val="center"/>
          </w:tcPr>
          <w:p w14:paraId="62CC3956">
            <w:pPr>
              <w:widowControl/>
              <w:jc w:val="center"/>
              <w:textAlignment w:val="center"/>
              <w:rPr>
                <w:rFonts w:ascii="Times New Roman" w:hAnsi="Times New Roman" w:eastAsia="仿宋_GB2312" w:cs="仿宋_GB2312"/>
                <w:color w:val="000000"/>
                <w:kern w:val="0"/>
                <w:sz w:val="24"/>
                <w:lang w:bidi="ar"/>
              </w:rPr>
            </w:pPr>
          </w:p>
        </w:tc>
        <w:tc>
          <w:tcPr>
            <w:tcW w:w="279" w:type="pct"/>
            <w:vMerge w:val="continue"/>
            <w:tcBorders>
              <w:tl2br w:val="nil"/>
              <w:tr2bl w:val="nil"/>
            </w:tcBorders>
            <w:vAlign w:val="center"/>
          </w:tcPr>
          <w:p w14:paraId="6F9E2ACE">
            <w:pPr>
              <w:widowControl/>
              <w:textAlignment w:val="center"/>
              <w:rPr>
                <w:rFonts w:ascii="仿宋" w:hAnsi="仿宋" w:eastAsia="仿宋_GB2312" w:cs="仿宋_GB2312"/>
                <w:color w:val="000000"/>
                <w:kern w:val="0"/>
                <w:sz w:val="24"/>
                <w:lang w:bidi="ar"/>
              </w:rPr>
            </w:pPr>
          </w:p>
        </w:tc>
        <w:tc>
          <w:tcPr>
            <w:tcW w:w="327" w:type="pct"/>
            <w:vMerge w:val="continue"/>
            <w:tcBorders>
              <w:tl2br w:val="nil"/>
              <w:tr2bl w:val="nil"/>
            </w:tcBorders>
            <w:vAlign w:val="center"/>
          </w:tcPr>
          <w:p w14:paraId="3E0DDB34">
            <w:pPr>
              <w:widowControl/>
              <w:jc w:val="center"/>
              <w:textAlignment w:val="center"/>
              <w:rPr>
                <w:rFonts w:ascii="仿宋" w:hAnsi="仿宋" w:eastAsia="仿宋_GB2312" w:cs="仿宋_GB2312"/>
                <w:color w:val="000000"/>
                <w:kern w:val="0"/>
                <w:sz w:val="24"/>
                <w:lang w:bidi="ar"/>
              </w:rPr>
            </w:pPr>
          </w:p>
        </w:tc>
        <w:tc>
          <w:tcPr>
            <w:tcW w:w="469" w:type="pct"/>
            <w:vMerge w:val="continue"/>
            <w:tcBorders>
              <w:tl2br w:val="nil"/>
              <w:tr2bl w:val="nil"/>
            </w:tcBorders>
            <w:vAlign w:val="center"/>
          </w:tcPr>
          <w:p w14:paraId="29149120">
            <w:pPr>
              <w:widowControl/>
              <w:jc w:val="center"/>
              <w:textAlignment w:val="center"/>
              <w:rPr>
                <w:rFonts w:ascii="仿宋" w:hAnsi="仿宋" w:eastAsia="仿宋_GB2312" w:cs="仿宋_GB2312"/>
                <w:color w:val="000000"/>
                <w:kern w:val="0"/>
                <w:sz w:val="24"/>
                <w:lang w:bidi="ar"/>
              </w:rPr>
            </w:pPr>
          </w:p>
        </w:tc>
        <w:tc>
          <w:tcPr>
            <w:tcW w:w="1025" w:type="pct"/>
            <w:tcBorders>
              <w:top w:val="single" w:color="auto" w:sz="4" w:space="0"/>
              <w:tl2br w:val="nil"/>
              <w:tr2bl w:val="nil"/>
            </w:tcBorders>
            <w:vAlign w:val="center"/>
          </w:tcPr>
          <w:p w14:paraId="73BC6A2B">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.工艺、配方变化，未提前下达指令或变更预警；新供应商、新品项引入时未变更，导致产品质量异常。</w:t>
            </w:r>
          </w:p>
        </w:tc>
        <w:tc>
          <w:tcPr>
            <w:tcW w:w="1136" w:type="pct"/>
            <w:tcBorders>
              <w:top w:val="single" w:color="auto" w:sz="4" w:space="0"/>
              <w:tl2br w:val="nil"/>
              <w:tr2bl w:val="nil"/>
            </w:tcBorders>
            <w:vAlign w:val="center"/>
          </w:tcPr>
          <w:p w14:paraId="0A42823A">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试产、转产需按照试产转产流程由主责部门发起并将信息流转传递，未出具全项结果或未经风险评价不得批量生产；</w:t>
            </w:r>
          </w:p>
          <w:p w14:paraId="0305FF95">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工艺配方变化、新供应商、新品项引入时需按照相关规定及要求进行验证，未经审批评价确认不得生产；</w:t>
            </w:r>
          </w:p>
          <w:p w14:paraId="6D9A33AA">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工艺配方变化、新供应商、新品项引入时需按照变更管理要求进行验证，开展前瞻性工艺验证，验证合格后可进行批量生产。</w:t>
            </w:r>
          </w:p>
        </w:tc>
        <w:tc>
          <w:tcPr>
            <w:tcW w:w="386" w:type="pct"/>
            <w:vMerge w:val="continue"/>
            <w:tcBorders>
              <w:tl2br w:val="nil"/>
              <w:tr2bl w:val="nil"/>
            </w:tcBorders>
            <w:vAlign w:val="center"/>
          </w:tcPr>
          <w:p w14:paraId="24517733">
            <w:pPr>
              <w:widowControl/>
              <w:jc w:val="center"/>
              <w:textAlignment w:val="center"/>
              <w:rPr>
                <w:rFonts w:ascii="仿宋" w:hAnsi="仿宋" w:eastAsia="仿宋_GB2312" w:cs="仿宋_GB2312"/>
                <w:color w:val="000000"/>
                <w:kern w:val="0"/>
                <w:sz w:val="24"/>
                <w:lang w:bidi="ar"/>
              </w:rPr>
            </w:pPr>
          </w:p>
        </w:tc>
        <w:tc>
          <w:tcPr>
            <w:tcW w:w="466" w:type="pct"/>
            <w:vMerge w:val="continue"/>
            <w:tcBorders>
              <w:tl2br w:val="nil"/>
              <w:tr2bl w:val="nil"/>
            </w:tcBorders>
            <w:vAlign w:val="center"/>
          </w:tcPr>
          <w:p w14:paraId="7B89B8DF">
            <w:pPr>
              <w:widowControl/>
              <w:jc w:val="left"/>
              <w:textAlignment w:val="center"/>
              <w:rPr>
                <w:rFonts w:ascii="仿宋" w:hAnsi="仿宋" w:eastAsia="仿宋_GB2312" w:cs="仿宋_GB2312"/>
                <w:color w:val="000000"/>
                <w:kern w:val="0"/>
                <w:sz w:val="24"/>
                <w:lang w:bidi="ar"/>
              </w:rPr>
            </w:pPr>
          </w:p>
        </w:tc>
        <w:tc>
          <w:tcPr>
            <w:tcW w:w="347" w:type="pct"/>
            <w:vMerge w:val="continue"/>
            <w:tcBorders>
              <w:tl2br w:val="nil"/>
              <w:tr2bl w:val="nil"/>
            </w:tcBorders>
            <w:vAlign w:val="center"/>
          </w:tcPr>
          <w:p w14:paraId="2064A2E0">
            <w:pPr>
              <w:jc w:val="left"/>
              <w:rPr>
                <w:rFonts w:ascii="仿宋" w:hAnsi="仿宋" w:eastAsia="仿宋" w:cs="仿宋_GB2312"/>
                <w:color w:val="000000"/>
                <w:sz w:val="24"/>
              </w:rPr>
            </w:pPr>
          </w:p>
        </w:tc>
      </w:tr>
      <w:tr w14:paraId="24DC0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061314C4">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50BE0BD6">
            <w:pPr>
              <w:widowControl/>
              <w:jc w:val="lef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1367CB39">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2B689B2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原料验收（含基粉）</w:t>
            </w:r>
          </w:p>
        </w:tc>
        <w:tc>
          <w:tcPr>
            <w:tcW w:w="469" w:type="pct"/>
            <w:tcBorders>
              <w:tl2br w:val="nil"/>
              <w:tr2bl w:val="nil"/>
            </w:tcBorders>
            <w:vAlign w:val="center"/>
          </w:tcPr>
          <w:p w14:paraId="4053C8A4">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原料中的微生物、化学污染物引入产品</w:t>
            </w:r>
          </w:p>
        </w:tc>
        <w:tc>
          <w:tcPr>
            <w:tcW w:w="1025" w:type="pct"/>
            <w:tcBorders>
              <w:tl2br w:val="nil"/>
              <w:tr2bl w:val="nil"/>
            </w:tcBorders>
            <w:vAlign w:val="center"/>
          </w:tcPr>
          <w:p w14:paraId="3AF6F5F6">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未按规定对原辅料批批验收，将不合格原料投入使用。</w:t>
            </w:r>
          </w:p>
        </w:tc>
        <w:tc>
          <w:tcPr>
            <w:tcW w:w="1136" w:type="pct"/>
            <w:tcBorders>
              <w:tl2br w:val="nil"/>
              <w:tr2bl w:val="nil"/>
            </w:tcBorders>
            <w:vAlign w:val="center"/>
          </w:tcPr>
          <w:p w14:paraId="36800E4D">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.对供应商进行审核评价；</w:t>
            </w:r>
          </w:p>
          <w:p w14:paraId="71E7812E">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.确保所采购原辅料供应商在合格方名录中；</w:t>
            </w:r>
          </w:p>
          <w:p w14:paraId="67FF767D">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.按照相应的原辅料验收标准、检验计划进行验收，基粉要进行批批全项目检验和验证，评估设置合理使用期限，符合标准要求方可投入使用。</w:t>
            </w:r>
          </w:p>
        </w:tc>
        <w:tc>
          <w:tcPr>
            <w:tcW w:w="386" w:type="pct"/>
            <w:tcBorders>
              <w:tl2br w:val="nil"/>
              <w:tr2bl w:val="nil"/>
            </w:tcBorders>
            <w:vAlign w:val="center"/>
          </w:tcPr>
          <w:p w14:paraId="3A5D66B6">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每批</w:t>
            </w:r>
          </w:p>
        </w:tc>
        <w:tc>
          <w:tcPr>
            <w:tcW w:w="466" w:type="pct"/>
            <w:tcBorders>
              <w:tl2br w:val="nil"/>
              <w:tr2bl w:val="nil"/>
            </w:tcBorders>
            <w:vAlign w:val="center"/>
          </w:tcPr>
          <w:p w14:paraId="4A983173">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、《婴幼儿配方乳粉生产许可审查细则》和内控要求</w:t>
            </w:r>
          </w:p>
        </w:tc>
        <w:tc>
          <w:tcPr>
            <w:tcW w:w="347" w:type="pct"/>
            <w:tcBorders>
              <w:tl2br w:val="nil"/>
              <w:tr2bl w:val="nil"/>
            </w:tcBorders>
            <w:vAlign w:val="center"/>
          </w:tcPr>
          <w:p w14:paraId="30FDEF66">
            <w:pPr>
              <w:jc w:val="left"/>
              <w:rPr>
                <w:rFonts w:ascii="仿宋" w:hAnsi="仿宋" w:eastAsia="仿宋" w:cs="仿宋_GB2312"/>
                <w:color w:val="000000"/>
                <w:sz w:val="24"/>
              </w:rPr>
            </w:pPr>
          </w:p>
        </w:tc>
      </w:tr>
      <w:tr w14:paraId="7B587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064B2FAC">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7C7063B5">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10EB49D7">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4DFE0595">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原料、包装材料领用过程</w:t>
            </w:r>
          </w:p>
        </w:tc>
        <w:tc>
          <w:tcPr>
            <w:tcW w:w="469" w:type="pct"/>
            <w:tcBorders>
              <w:tl2br w:val="nil"/>
              <w:tr2bl w:val="nil"/>
            </w:tcBorders>
            <w:vAlign w:val="center"/>
          </w:tcPr>
          <w:p w14:paraId="10CE5609">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库房领料</w:t>
            </w:r>
          </w:p>
        </w:tc>
        <w:tc>
          <w:tcPr>
            <w:tcW w:w="1025" w:type="pct"/>
            <w:tcBorders>
              <w:tl2br w:val="nil"/>
              <w:tr2bl w:val="nil"/>
            </w:tcBorders>
            <w:vAlign w:val="center"/>
          </w:tcPr>
          <w:p w14:paraId="20BDE46D">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.不合格或待检物料未被有效识别而从库房领用；</w:t>
            </w:r>
          </w:p>
          <w:p w14:paraId="7B9D5D77">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.未按先进先出、近效期先出的原则使用；</w:t>
            </w:r>
          </w:p>
          <w:p w14:paraId="4768583C">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.物料领错。</w:t>
            </w:r>
          </w:p>
        </w:tc>
        <w:tc>
          <w:tcPr>
            <w:tcW w:w="1136" w:type="pct"/>
            <w:tcBorders>
              <w:tl2br w:val="nil"/>
              <w:tr2bl w:val="nil"/>
            </w:tcBorders>
            <w:vAlign w:val="center"/>
          </w:tcPr>
          <w:p w14:paraId="47A53C7B">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.双人复核或使用扫码追溯系统，依据配料单进行验收，确认合格状态，保证物料合格或系统与实际物料相匹配；</w:t>
            </w:r>
          </w:p>
          <w:p w14:paraId="09FB55DA">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.按照新鲜度管控要求，确认原辅料使用原则是否符合要求，原辅料是否在有效期内；</w:t>
            </w:r>
          </w:p>
          <w:p w14:paraId="5A70CF61">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.原料及包装材料扫码出库时，应有能够显示的系统报错预警提示。</w:t>
            </w:r>
          </w:p>
        </w:tc>
        <w:tc>
          <w:tcPr>
            <w:tcW w:w="386" w:type="pct"/>
            <w:tcBorders>
              <w:tl2br w:val="nil"/>
              <w:tr2bl w:val="nil"/>
            </w:tcBorders>
            <w:vAlign w:val="center"/>
          </w:tcPr>
          <w:p w14:paraId="7267B37A">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tcBorders>
              <w:tl2br w:val="nil"/>
              <w:tr2bl w:val="nil"/>
            </w:tcBorders>
            <w:vAlign w:val="center"/>
          </w:tcPr>
          <w:p w14:paraId="02BA9D81">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符合标准和内控要求</w:t>
            </w:r>
          </w:p>
        </w:tc>
        <w:tc>
          <w:tcPr>
            <w:tcW w:w="347" w:type="pct"/>
            <w:tcBorders>
              <w:tl2br w:val="nil"/>
              <w:tr2bl w:val="nil"/>
            </w:tcBorders>
            <w:vAlign w:val="center"/>
          </w:tcPr>
          <w:p w14:paraId="2DCD54EE">
            <w:pPr>
              <w:jc w:val="left"/>
              <w:rPr>
                <w:rFonts w:ascii="仿宋" w:hAnsi="仿宋" w:eastAsia="仿宋" w:cs="仿宋_GB2312"/>
                <w:color w:val="000000"/>
                <w:sz w:val="24"/>
              </w:rPr>
            </w:pPr>
          </w:p>
        </w:tc>
      </w:tr>
      <w:tr w14:paraId="4FFE1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3173A828">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7FCB5D34">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5B84D20A">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140B377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原辅料、包装材料备料过程</w:t>
            </w:r>
          </w:p>
        </w:tc>
        <w:tc>
          <w:tcPr>
            <w:tcW w:w="469" w:type="pct"/>
            <w:tcBorders>
              <w:tl2br w:val="nil"/>
              <w:tr2bl w:val="nil"/>
            </w:tcBorders>
            <w:vAlign w:val="center"/>
          </w:tcPr>
          <w:p w14:paraId="3BA27BE3">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备料区错误备料</w:t>
            </w:r>
          </w:p>
        </w:tc>
        <w:tc>
          <w:tcPr>
            <w:tcW w:w="1025" w:type="pct"/>
            <w:tcBorders>
              <w:tl2br w:val="nil"/>
              <w:tr2bl w:val="nil"/>
            </w:tcBorders>
            <w:vAlign w:val="center"/>
          </w:tcPr>
          <w:p w14:paraId="68C2D06D">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.进料过程对原辅料复核或扫码后，出现品项与生产计划单中的原辅料不一致；</w:t>
            </w:r>
          </w:p>
          <w:p w14:paraId="760602C6">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.因二维码内外标签不一致造成扫码进料错误。</w:t>
            </w:r>
          </w:p>
        </w:tc>
        <w:tc>
          <w:tcPr>
            <w:tcW w:w="1136" w:type="pct"/>
            <w:tcBorders>
              <w:tl2br w:val="nil"/>
              <w:tr2bl w:val="nil"/>
            </w:tcBorders>
            <w:vAlign w:val="center"/>
          </w:tcPr>
          <w:p w14:paraId="31CB4F4D">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.复核信息或扫描信息与中控计划不一致，终止进料或系统识别报错后自动停止进料；</w:t>
            </w:r>
          </w:p>
          <w:p w14:paraId="1BF897CA">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.扫码系统报错后，按照权限管理启用现场复核确认，二维码扫描解锁系统；</w:t>
            </w:r>
          </w:p>
          <w:p w14:paraId="4EFC532C">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.每班每批核对确认扫码系统正常运行；</w:t>
            </w:r>
          </w:p>
          <w:p w14:paraId="4A492BF0">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.扫描枪复查标签信息是否与实物一致，信息反馈中控双人复核，无线扫描枪对托盘标签再次扫描确认一致。</w:t>
            </w:r>
          </w:p>
        </w:tc>
        <w:tc>
          <w:tcPr>
            <w:tcW w:w="386" w:type="pct"/>
            <w:tcBorders>
              <w:tl2br w:val="nil"/>
              <w:tr2bl w:val="nil"/>
            </w:tcBorders>
            <w:vAlign w:val="center"/>
          </w:tcPr>
          <w:p w14:paraId="6B5CAD06">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投料前</w:t>
            </w:r>
          </w:p>
        </w:tc>
        <w:tc>
          <w:tcPr>
            <w:tcW w:w="466" w:type="pct"/>
            <w:tcBorders>
              <w:tl2br w:val="nil"/>
              <w:tr2bl w:val="nil"/>
            </w:tcBorders>
            <w:vAlign w:val="center"/>
          </w:tcPr>
          <w:p w14:paraId="5B272C2E">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、《婴幼儿配方乳粉生产许可审查细则》和内控要求</w:t>
            </w:r>
          </w:p>
        </w:tc>
        <w:tc>
          <w:tcPr>
            <w:tcW w:w="347" w:type="pct"/>
            <w:tcBorders>
              <w:tl2br w:val="nil"/>
              <w:tr2bl w:val="nil"/>
            </w:tcBorders>
            <w:vAlign w:val="center"/>
          </w:tcPr>
          <w:p w14:paraId="55342BA4">
            <w:pPr>
              <w:jc w:val="left"/>
              <w:rPr>
                <w:rFonts w:ascii="仿宋" w:hAnsi="仿宋" w:eastAsia="仿宋" w:cs="仿宋_GB2312"/>
                <w:color w:val="000000"/>
                <w:sz w:val="24"/>
              </w:rPr>
            </w:pPr>
          </w:p>
        </w:tc>
      </w:tr>
      <w:tr w14:paraId="6B463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restart"/>
            <w:tcBorders>
              <w:tl2br w:val="nil"/>
              <w:tr2bl w:val="nil"/>
            </w:tcBorders>
            <w:vAlign w:val="center"/>
          </w:tcPr>
          <w:p w14:paraId="5C147B1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vMerge w:val="restart"/>
            <w:tcBorders>
              <w:tl2br w:val="nil"/>
              <w:tr2bl w:val="nil"/>
            </w:tcBorders>
            <w:vAlign w:val="center"/>
          </w:tcPr>
          <w:p w14:paraId="43309334">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vMerge w:val="restart"/>
            <w:tcBorders>
              <w:tl2br w:val="nil"/>
              <w:tr2bl w:val="nil"/>
            </w:tcBorders>
            <w:vAlign w:val="center"/>
          </w:tcPr>
          <w:p w14:paraId="3A27B106">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vMerge w:val="restart"/>
            <w:tcBorders>
              <w:tl2br w:val="nil"/>
              <w:tr2bl w:val="nil"/>
            </w:tcBorders>
            <w:vAlign w:val="center"/>
          </w:tcPr>
          <w:p w14:paraId="6B9E1DEE">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营养素称量过程</w:t>
            </w:r>
          </w:p>
        </w:tc>
        <w:tc>
          <w:tcPr>
            <w:tcW w:w="469" w:type="pct"/>
            <w:vMerge w:val="restart"/>
            <w:tcBorders>
              <w:tl2br w:val="nil"/>
              <w:tr2bl w:val="nil"/>
            </w:tcBorders>
            <w:vAlign w:val="center"/>
          </w:tcPr>
          <w:p w14:paraId="44B5379F">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小料间干混营养素称量不准确</w:t>
            </w:r>
          </w:p>
        </w:tc>
        <w:tc>
          <w:tcPr>
            <w:tcW w:w="1025" w:type="pct"/>
            <w:tcBorders>
              <w:bottom w:val="single" w:color="auto" w:sz="4" w:space="0"/>
              <w:tl2br w:val="nil"/>
              <w:tr2bl w:val="nil"/>
            </w:tcBorders>
            <w:vAlign w:val="center"/>
          </w:tcPr>
          <w:p w14:paraId="6B5F048D">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.电子秤未经校准，精度不准确；</w:t>
            </w:r>
          </w:p>
          <w:p w14:paraId="0C4CDD24">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.营养素称量不准确；</w:t>
            </w:r>
          </w:p>
          <w:p w14:paraId="77CD0BE2">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.系统配置缺失；</w:t>
            </w:r>
          </w:p>
        </w:tc>
        <w:tc>
          <w:tcPr>
            <w:tcW w:w="1136" w:type="pct"/>
            <w:tcBorders>
              <w:bottom w:val="single" w:color="auto" w:sz="4" w:space="0"/>
              <w:tl2br w:val="nil"/>
              <w:tr2bl w:val="nil"/>
            </w:tcBorders>
            <w:vAlign w:val="center"/>
          </w:tcPr>
          <w:p w14:paraId="792C7D9A">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.电子秤满足年度强制检定要求，并使用砝码验证电子秤的准确性</w:t>
            </w:r>
          </w:p>
          <w:p w14:paraId="6C54AA8E">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.称量落实双人复核，称量前对称量器具开机归零，零头料称量器具分度值等级为</w:t>
            </w:r>
            <w:r>
              <w:rPr>
                <w:rFonts w:hint="eastAsia" w:ascii="Times New Roman" w:hAnsi="Times New Roman" w:eastAsia="仿宋_GB2312" w:cs="仿宋_GB2312"/>
                <w:color w:val="000000"/>
                <w:kern w:val="0"/>
                <w:sz w:val="24"/>
                <w:lang w:bidi="ar"/>
              </w:rPr>
              <w:t>0</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克和</w:t>
            </w:r>
            <w:r>
              <w:rPr>
                <w:rFonts w:hint="eastAsia" w:ascii="Times New Roman" w:hAnsi="Times New Roman" w:eastAsia="仿宋_GB2312" w:cs="仿宋_GB2312"/>
                <w:color w:val="000000"/>
                <w:kern w:val="0"/>
                <w:sz w:val="24"/>
                <w:lang w:bidi="ar"/>
              </w:rPr>
              <w:t>0</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01</w:t>
            </w:r>
            <w:r>
              <w:rPr>
                <w:rFonts w:hint="eastAsia" w:ascii="仿宋" w:hAnsi="仿宋" w:eastAsia="仿宋_GB2312" w:cs="仿宋_GB2312"/>
                <w:color w:val="000000"/>
                <w:kern w:val="0"/>
                <w:sz w:val="24"/>
                <w:lang w:bidi="ar"/>
              </w:rPr>
              <w:t>克；</w:t>
            </w:r>
          </w:p>
          <w:p w14:paraId="2643DDDB">
            <w:pP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.系统配置具备小料称量、赋码、扫码及配料单线上审核与识别报错功能的要求，实现系统识别自纠；</w:t>
            </w:r>
          </w:p>
        </w:tc>
        <w:tc>
          <w:tcPr>
            <w:tcW w:w="386" w:type="pct"/>
            <w:vMerge w:val="restart"/>
            <w:tcBorders>
              <w:tl2br w:val="nil"/>
              <w:tr2bl w:val="nil"/>
            </w:tcBorders>
            <w:vAlign w:val="center"/>
          </w:tcPr>
          <w:p w14:paraId="57C0FA3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每日</w:t>
            </w:r>
          </w:p>
        </w:tc>
        <w:tc>
          <w:tcPr>
            <w:tcW w:w="466" w:type="pct"/>
            <w:vMerge w:val="restart"/>
            <w:tcBorders>
              <w:tl2br w:val="nil"/>
              <w:tr2bl w:val="nil"/>
            </w:tcBorders>
            <w:vAlign w:val="center"/>
          </w:tcPr>
          <w:p w14:paraId="432C2310">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23790</w:t>
            </w:r>
            <w:r>
              <w:rPr>
                <w:rFonts w:hint="eastAsia" w:ascii="仿宋" w:hAnsi="仿宋" w:eastAsia="仿宋_GB2312" w:cs="仿宋_GB2312"/>
                <w:color w:val="000000"/>
                <w:kern w:val="0"/>
                <w:sz w:val="24"/>
                <w:lang w:bidi="ar"/>
              </w:rPr>
              <w:t>、《婴幼儿配方乳粉生产许可审查细则》和内控要求</w:t>
            </w:r>
          </w:p>
        </w:tc>
        <w:tc>
          <w:tcPr>
            <w:tcW w:w="347" w:type="pct"/>
            <w:vMerge w:val="restart"/>
            <w:tcBorders>
              <w:tl2br w:val="nil"/>
              <w:tr2bl w:val="nil"/>
            </w:tcBorders>
            <w:vAlign w:val="center"/>
          </w:tcPr>
          <w:p w14:paraId="03C707AA">
            <w:pPr>
              <w:jc w:val="left"/>
              <w:rPr>
                <w:rFonts w:ascii="仿宋" w:hAnsi="仿宋" w:eastAsia="仿宋" w:cs="仿宋_GB2312"/>
                <w:color w:val="000000"/>
                <w:sz w:val="24"/>
              </w:rPr>
            </w:pPr>
          </w:p>
        </w:tc>
      </w:tr>
      <w:tr w14:paraId="5A161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continue"/>
            <w:tcBorders>
              <w:tl2br w:val="nil"/>
              <w:tr2bl w:val="nil"/>
            </w:tcBorders>
            <w:vAlign w:val="center"/>
          </w:tcPr>
          <w:p w14:paraId="7C3E982F">
            <w:pPr>
              <w:widowControl/>
              <w:jc w:val="center"/>
              <w:textAlignment w:val="center"/>
              <w:rPr>
                <w:rFonts w:ascii="仿宋" w:hAnsi="仿宋" w:eastAsia="仿宋_GB2312" w:cs="仿宋_GB2312"/>
                <w:color w:val="000000"/>
                <w:kern w:val="0"/>
                <w:sz w:val="24"/>
                <w:lang w:bidi="ar"/>
              </w:rPr>
            </w:pPr>
          </w:p>
        </w:tc>
        <w:tc>
          <w:tcPr>
            <w:tcW w:w="277" w:type="pct"/>
            <w:vMerge w:val="continue"/>
            <w:tcBorders>
              <w:tl2br w:val="nil"/>
              <w:tr2bl w:val="nil"/>
            </w:tcBorders>
            <w:vAlign w:val="center"/>
          </w:tcPr>
          <w:p w14:paraId="34EDB361">
            <w:pPr>
              <w:widowControl/>
              <w:jc w:val="center"/>
              <w:textAlignment w:val="center"/>
              <w:rPr>
                <w:rFonts w:ascii="Times New Roman" w:hAnsi="Times New Roman" w:eastAsia="仿宋_GB2312" w:cs="仿宋_GB2312"/>
                <w:color w:val="000000"/>
                <w:kern w:val="0"/>
                <w:sz w:val="24"/>
                <w:lang w:bidi="ar"/>
              </w:rPr>
            </w:pPr>
          </w:p>
        </w:tc>
        <w:tc>
          <w:tcPr>
            <w:tcW w:w="279" w:type="pct"/>
            <w:vMerge w:val="continue"/>
            <w:tcBorders>
              <w:tl2br w:val="nil"/>
              <w:tr2bl w:val="nil"/>
            </w:tcBorders>
            <w:vAlign w:val="center"/>
          </w:tcPr>
          <w:p w14:paraId="56AC1BA6">
            <w:pPr>
              <w:widowControl/>
              <w:jc w:val="center"/>
              <w:textAlignment w:val="center"/>
              <w:rPr>
                <w:rFonts w:ascii="仿宋" w:hAnsi="仿宋" w:eastAsia="仿宋_GB2312" w:cs="仿宋_GB2312"/>
                <w:color w:val="000000"/>
                <w:kern w:val="0"/>
                <w:sz w:val="24"/>
                <w:lang w:bidi="ar"/>
              </w:rPr>
            </w:pPr>
          </w:p>
        </w:tc>
        <w:tc>
          <w:tcPr>
            <w:tcW w:w="327" w:type="pct"/>
            <w:vMerge w:val="continue"/>
            <w:tcBorders>
              <w:tl2br w:val="nil"/>
              <w:tr2bl w:val="nil"/>
            </w:tcBorders>
            <w:vAlign w:val="center"/>
          </w:tcPr>
          <w:p w14:paraId="016F276C">
            <w:pPr>
              <w:widowControl/>
              <w:jc w:val="center"/>
              <w:textAlignment w:val="center"/>
              <w:rPr>
                <w:rFonts w:ascii="仿宋" w:hAnsi="仿宋" w:eastAsia="仿宋_GB2312" w:cs="仿宋_GB2312"/>
                <w:color w:val="000000"/>
                <w:kern w:val="0"/>
                <w:sz w:val="24"/>
                <w:lang w:bidi="ar"/>
              </w:rPr>
            </w:pPr>
          </w:p>
        </w:tc>
        <w:tc>
          <w:tcPr>
            <w:tcW w:w="469" w:type="pct"/>
            <w:vMerge w:val="continue"/>
            <w:tcBorders>
              <w:tl2br w:val="nil"/>
              <w:tr2bl w:val="nil"/>
            </w:tcBorders>
            <w:vAlign w:val="center"/>
          </w:tcPr>
          <w:p w14:paraId="6E26856D">
            <w:pPr>
              <w:widowControl/>
              <w:textAlignment w:val="center"/>
              <w:rPr>
                <w:rFonts w:ascii="仿宋" w:hAnsi="仿宋" w:eastAsia="仿宋_GB2312" w:cs="仿宋_GB2312"/>
                <w:color w:val="000000"/>
                <w:kern w:val="0"/>
                <w:sz w:val="24"/>
                <w:lang w:bidi="ar"/>
              </w:rPr>
            </w:pPr>
          </w:p>
        </w:tc>
        <w:tc>
          <w:tcPr>
            <w:tcW w:w="1025" w:type="pct"/>
            <w:tcBorders>
              <w:top w:val="single" w:color="auto" w:sz="4" w:space="0"/>
              <w:bottom w:val="single" w:color="auto" w:sz="4" w:space="0"/>
              <w:tl2br w:val="nil"/>
              <w:tr2bl w:val="nil"/>
            </w:tcBorders>
            <w:vAlign w:val="center"/>
          </w:tcPr>
          <w:p w14:paraId="29B22280">
            <w:pPr>
              <w:widowControl/>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.系统报错功能失效，异常处置时未执行权限分级管理；</w:t>
            </w:r>
          </w:p>
        </w:tc>
        <w:tc>
          <w:tcPr>
            <w:tcW w:w="1136" w:type="pct"/>
            <w:tcBorders>
              <w:top w:val="single" w:color="auto" w:sz="4" w:space="0"/>
              <w:bottom w:val="single" w:color="auto" w:sz="4" w:space="0"/>
              <w:tl2br w:val="nil"/>
              <w:tr2bl w:val="nil"/>
            </w:tcBorders>
            <w:vAlign w:val="center"/>
          </w:tcPr>
          <w:p w14:paraId="58C5FDB1">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制定正反向试错验证机制，确保系统自纠持续有效。如报错提示：</w:t>
            </w:r>
          </w:p>
          <w:p w14:paraId="72770FD0">
            <w:pPr>
              <w:widowControl/>
              <w:textAlignment w:val="center"/>
              <w:rPr>
                <w:rFonts w:ascii="仿宋" w:hAnsi="仿宋" w:eastAsia="仿宋_GB2312" w:cs="仿宋_GB2312"/>
                <w:color w:val="000000"/>
                <w:kern w:val="0"/>
                <w:sz w:val="24"/>
                <w:lang w:bidi="ar"/>
              </w:rPr>
            </w:pP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）小料称量时使用错误物料时报错提示（出现报警提示“当前工单不含此物料”则正常）；</w:t>
            </w:r>
          </w:p>
          <w:p w14:paraId="6501FF0C">
            <w:pPr>
              <w:widowControl/>
              <w:textAlignment w:val="center"/>
              <w:rPr>
                <w:rFonts w:ascii="仿宋" w:hAnsi="仿宋" w:eastAsia="仿宋_GB2312" w:cs="仿宋_GB2312"/>
                <w:color w:val="000000"/>
                <w:kern w:val="0"/>
                <w:sz w:val="24"/>
                <w:lang w:bidi="ar"/>
              </w:rPr>
            </w:pP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）小料称量时超出物料配方标准重量误差时报错提示（出现报警提示“重量超出误差范围”则正常）；</w:t>
            </w:r>
          </w:p>
          <w:p w14:paraId="7DD3A60C">
            <w:pPr>
              <w:textAlignment w:val="center"/>
              <w:rPr>
                <w:rFonts w:ascii="仿宋" w:hAnsi="仿宋" w:eastAsia="仿宋_GB2312" w:cs="仿宋_GB2312"/>
                <w:color w:val="000000"/>
                <w:kern w:val="0"/>
                <w:sz w:val="24"/>
                <w:lang w:bidi="ar"/>
              </w:rPr>
            </w:pP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）小料称量时扫描工单其他批次的物料时报错提示（出现报警提示“物料批次不正确”则正常）；</w:t>
            </w:r>
          </w:p>
          <w:p w14:paraId="6C27839F">
            <w:pPr>
              <w:widowControl/>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报错后，按照权限管理要求现场确认，评价复位；</w:t>
            </w:r>
          </w:p>
        </w:tc>
        <w:tc>
          <w:tcPr>
            <w:tcW w:w="386" w:type="pct"/>
            <w:vMerge w:val="continue"/>
            <w:tcBorders>
              <w:tl2br w:val="nil"/>
              <w:tr2bl w:val="nil"/>
            </w:tcBorders>
            <w:vAlign w:val="center"/>
          </w:tcPr>
          <w:p w14:paraId="01A36F95">
            <w:pPr>
              <w:widowControl/>
              <w:jc w:val="center"/>
              <w:textAlignment w:val="center"/>
              <w:rPr>
                <w:rFonts w:ascii="仿宋" w:hAnsi="仿宋" w:eastAsia="仿宋_GB2312" w:cs="仿宋_GB2312"/>
                <w:color w:val="000000"/>
                <w:kern w:val="0"/>
                <w:sz w:val="24"/>
                <w:lang w:bidi="ar"/>
              </w:rPr>
            </w:pPr>
          </w:p>
        </w:tc>
        <w:tc>
          <w:tcPr>
            <w:tcW w:w="466" w:type="pct"/>
            <w:vMerge w:val="continue"/>
            <w:tcBorders>
              <w:tl2br w:val="nil"/>
              <w:tr2bl w:val="nil"/>
            </w:tcBorders>
            <w:vAlign w:val="center"/>
          </w:tcPr>
          <w:p w14:paraId="6C45547B">
            <w:pPr>
              <w:widowControl/>
              <w:jc w:val="left"/>
              <w:textAlignment w:val="center"/>
              <w:rPr>
                <w:rFonts w:ascii="仿宋" w:hAnsi="仿宋" w:eastAsia="仿宋_GB2312" w:cs="仿宋_GB2312"/>
                <w:color w:val="000000"/>
                <w:kern w:val="0"/>
                <w:sz w:val="24"/>
                <w:lang w:bidi="ar"/>
              </w:rPr>
            </w:pPr>
          </w:p>
        </w:tc>
        <w:tc>
          <w:tcPr>
            <w:tcW w:w="347" w:type="pct"/>
            <w:vMerge w:val="continue"/>
            <w:tcBorders>
              <w:tl2br w:val="nil"/>
              <w:tr2bl w:val="nil"/>
            </w:tcBorders>
            <w:vAlign w:val="center"/>
          </w:tcPr>
          <w:p w14:paraId="3116E02B">
            <w:pPr>
              <w:jc w:val="left"/>
              <w:rPr>
                <w:rFonts w:ascii="仿宋" w:hAnsi="仿宋" w:eastAsia="仿宋" w:cs="仿宋_GB2312"/>
                <w:color w:val="000000"/>
                <w:sz w:val="24"/>
              </w:rPr>
            </w:pPr>
          </w:p>
        </w:tc>
      </w:tr>
      <w:tr w14:paraId="7183A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continue"/>
            <w:tcBorders>
              <w:tl2br w:val="nil"/>
              <w:tr2bl w:val="nil"/>
            </w:tcBorders>
            <w:vAlign w:val="center"/>
          </w:tcPr>
          <w:p w14:paraId="653B1754">
            <w:pPr>
              <w:widowControl/>
              <w:jc w:val="center"/>
              <w:textAlignment w:val="center"/>
              <w:rPr>
                <w:rFonts w:ascii="仿宋" w:hAnsi="仿宋" w:eastAsia="仿宋_GB2312" w:cs="仿宋_GB2312"/>
                <w:color w:val="000000"/>
                <w:kern w:val="0"/>
                <w:sz w:val="24"/>
                <w:lang w:bidi="ar"/>
              </w:rPr>
            </w:pPr>
          </w:p>
        </w:tc>
        <w:tc>
          <w:tcPr>
            <w:tcW w:w="277" w:type="pct"/>
            <w:vMerge w:val="continue"/>
            <w:tcBorders>
              <w:tl2br w:val="nil"/>
              <w:tr2bl w:val="nil"/>
            </w:tcBorders>
            <w:vAlign w:val="center"/>
          </w:tcPr>
          <w:p w14:paraId="030677D1">
            <w:pPr>
              <w:widowControl/>
              <w:jc w:val="center"/>
              <w:textAlignment w:val="center"/>
              <w:rPr>
                <w:rFonts w:ascii="Times New Roman" w:hAnsi="Times New Roman" w:eastAsia="仿宋_GB2312" w:cs="仿宋_GB2312"/>
                <w:color w:val="000000"/>
                <w:kern w:val="0"/>
                <w:sz w:val="24"/>
                <w:lang w:bidi="ar"/>
              </w:rPr>
            </w:pPr>
          </w:p>
        </w:tc>
        <w:tc>
          <w:tcPr>
            <w:tcW w:w="279" w:type="pct"/>
            <w:vMerge w:val="continue"/>
            <w:tcBorders>
              <w:tl2br w:val="nil"/>
              <w:tr2bl w:val="nil"/>
            </w:tcBorders>
            <w:vAlign w:val="center"/>
          </w:tcPr>
          <w:p w14:paraId="4996E5F9">
            <w:pPr>
              <w:widowControl/>
              <w:jc w:val="center"/>
              <w:textAlignment w:val="center"/>
              <w:rPr>
                <w:rFonts w:ascii="仿宋" w:hAnsi="仿宋" w:eastAsia="仿宋_GB2312" w:cs="仿宋_GB2312"/>
                <w:color w:val="000000"/>
                <w:kern w:val="0"/>
                <w:sz w:val="24"/>
                <w:lang w:bidi="ar"/>
              </w:rPr>
            </w:pPr>
          </w:p>
        </w:tc>
        <w:tc>
          <w:tcPr>
            <w:tcW w:w="327" w:type="pct"/>
            <w:vMerge w:val="continue"/>
            <w:tcBorders>
              <w:tl2br w:val="nil"/>
              <w:tr2bl w:val="nil"/>
            </w:tcBorders>
            <w:vAlign w:val="center"/>
          </w:tcPr>
          <w:p w14:paraId="171EE43B">
            <w:pPr>
              <w:widowControl/>
              <w:jc w:val="center"/>
              <w:textAlignment w:val="center"/>
              <w:rPr>
                <w:rFonts w:ascii="仿宋" w:hAnsi="仿宋" w:eastAsia="仿宋_GB2312" w:cs="仿宋_GB2312"/>
                <w:color w:val="000000"/>
                <w:kern w:val="0"/>
                <w:sz w:val="24"/>
                <w:lang w:bidi="ar"/>
              </w:rPr>
            </w:pPr>
          </w:p>
        </w:tc>
        <w:tc>
          <w:tcPr>
            <w:tcW w:w="469" w:type="pct"/>
            <w:vMerge w:val="continue"/>
            <w:tcBorders>
              <w:tl2br w:val="nil"/>
              <w:tr2bl w:val="nil"/>
            </w:tcBorders>
            <w:vAlign w:val="center"/>
          </w:tcPr>
          <w:p w14:paraId="3AB36DE4">
            <w:pPr>
              <w:widowControl/>
              <w:textAlignment w:val="center"/>
              <w:rPr>
                <w:rFonts w:ascii="仿宋" w:hAnsi="仿宋" w:eastAsia="仿宋_GB2312" w:cs="仿宋_GB2312"/>
                <w:color w:val="000000"/>
                <w:kern w:val="0"/>
                <w:sz w:val="24"/>
                <w:lang w:bidi="ar"/>
              </w:rPr>
            </w:pPr>
          </w:p>
        </w:tc>
        <w:tc>
          <w:tcPr>
            <w:tcW w:w="1025" w:type="pct"/>
            <w:tcBorders>
              <w:top w:val="single" w:color="auto" w:sz="4" w:space="0"/>
              <w:tl2br w:val="nil"/>
              <w:tr2bl w:val="nil"/>
            </w:tcBorders>
            <w:vAlign w:val="center"/>
          </w:tcPr>
          <w:p w14:paraId="6B3F3D79">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5</w:t>
            </w:r>
            <w:r>
              <w:rPr>
                <w:rFonts w:hint="eastAsia" w:ascii="仿宋" w:hAnsi="仿宋" w:eastAsia="仿宋_GB2312" w:cs="仿宋_GB2312"/>
                <w:color w:val="000000"/>
                <w:kern w:val="0"/>
                <w:sz w:val="24"/>
                <w:lang w:bidi="ar"/>
              </w:rPr>
              <w:t>.同一个（种）二维码被多次扫描；</w:t>
            </w:r>
          </w:p>
          <w:p w14:paraId="200F44E9">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6</w:t>
            </w:r>
            <w:r>
              <w:rPr>
                <w:rFonts w:hint="eastAsia" w:ascii="仿宋" w:hAnsi="仿宋" w:eastAsia="仿宋_GB2312" w:cs="仿宋_GB2312"/>
                <w:color w:val="000000"/>
                <w:kern w:val="0"/>
                <w:sz w:val="24"/>
                <w:lang w:bidi="ar"/>
              </w:rPr>
              <w:t>.操作工越权操作，系统后台信息被修改。</w:t>
            </w:r>
          </w:p>
        </w:tc>
        <w:tc>
          <w:tcPr>
            <w:tcW w:w="1136" w:type="pct"/>
            <w:tcBorders>
              <w:top w:val="single" w:color="auto" w:sz="4" w:space="0"/>
              <w:tl2br w:val="nil"/>
              <w:tr2bl w:val="nil"/>
            </w:tcBorders>
            <w:vAlign w:val="center"/>
          </w:tcPr>
          <w:p w14:paraId="38D37966">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5</w:t>
            </w:r>
            <w:r>
              <w:rPr>
                <w:rFonts w:hint="eastAsia" w:ascii="仿宋" w:hAnsi="仿宋" w:eastAsia="仿宋_GB2312" w:cs="仿宋_GB2312"/>
                <w:color w:val="000000"/>
                <w:kern w:val="0"/>
                <w:sz w:val="24"/>
                <w:lang w:bidi="ar"/>
              </w:rPr>
              <w:t>.根据系统设定称量顺序对小料进行称量，一扫描一称量，出签粘贴，不得连续出签集中粘贴；</w:t>
            </w:r>
          </w:p>
          <w:p w14:paraId="2DEF688A">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6</w:t>
            </w:r>
            <w:r>
              <w:rPr>
                <w:rFonts w:hint="eastAsia" w:ascii="仿宋" w:hAnsi="仿宋" w:eastAsia="仿宋_GB2312" w:cs="仿宋_GB2312"/>
                <w:color w:val="000000"/>
                <w:kern w:val="0"/>
                <w:sz w:val="24"/>
                <w:lang w:bidi="ar"/>
              </w:rPr>
              <w:t>.操作工不得对计划单、配料单、营养素自动开关锁等进行操作，设置强制权限，需要定期进行权限设定的检查。</w:t>
            </w:r>
          </w:p>
        </w:tc>
        <w:tc>
          <w:tcPr>
            <w:tcW w:w="386" w:type="pct"/>
            <w:vMerge w:val="continue"/>
            <w:tcBorders>
              <w:tl2br w:val="nil"/>
              <w:tr2bl w:val="nil"/>
            </w:tcBorders>
            <w:vAlign w:val="center"/>
          </w:tcPr>
          <w:p w14:paraId="2A802749">
            <w:pPr>
              <w:widowControl/>
              <w:jc w:val="center"/>
              <w:textAlignment w:val="center"/>
              <w:rPr>
                <w:rFonts w:ascii="仿宋" w:hAnsi="仿宋" w:eastAsia="仿宋_GB2312" w:cs="仿宋_GB2312"/>
                <w:color w:val="000000"/>
                <w:kern w:val="0"/>
                <w:sz w:val="24"/>
                <w:lang w:bidi="ar"/>
              </w:rPr>
            </w:pPr>
          </w:p>
        </w:tc>
        <w:tc>
          <w:tcPr>
            <w:tcW w:w="466" w:type="pct"/>
            <w:vMerge w:val="continue"/>
            <w:tcBorders>
              <w:tl2br w:val="nil"/>
              <w:tr2bl w:val="nil"/>
            </w:tcBorders>
            <w:vAlign w:val="center"/>
          </w:tcPr>
          <w:p w14:paraId="47138C79">
            <w:pPr>
              <w:widowControl/>
              <w:jc w:val="left"/>
              <w:textAlignment w:val="center"/>
              <w:rPr>
                <w:rFonts w:ascii="仿宋" w:hAnsi="仿宋" w:eastAsia="仿宋_GB2312" w:cs="仿宋_GB2312"/>
                <w:color w:val="000000"/>
                <w:kern w:val="0"/>
                <w:sz w:val="24"/>
                <w:lang w:bidi="ar"/>
              </w:rPr>
            </w:pPr>
          </w:p>
        </w:tc>
        <w:tc>
          <w:tcPr>
            <w:tcW w:w="347" w:type="pct"/>
            <w:vMerge w:val="continue"/>
            <w:tcBorders>
              <w:tl2br w:val="nil"/>
              <w:tr2bl w:val="nil"/>
            </w:tcBorders>
            <w:vAlign w:val="center"/>
          </w:tcPr>
          <w:p w14:paraId="2ADD03D8">
            <w:pPr>
              <w:jc w:val="left"/>
              <w:rPr>
                <w:rFonts w:ascii="仿宋" w:hAnsi="仿宋" w:eastAsia="仿宋" w:cs="仿宋_GB2312"/>
                <w:color w:val="000000"/>
                <w:sz w:val="24"/>
              </w:rPr>
            </w:pPr>
          </w:p>
        </w:tc>
      </w:tr>
      <w:tr w14:paraId="2C08E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restart"/>
            <w:tcBorders>
              <w:tl2br w:val="nil"/>
              <w:tr2bl w:val="nil"/>
            </w:tcBorders>
            <w:vAlign w:val="center"/>
          </w:tcPr>
          <w:p w14:paraId="743E671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vMerge w:val="restart"/>
            <w:tcBorders>
              <w:tl2br w:val="nil"/>
              <w:tr2bl w:val="nil"/>
            </w:tcBorders>
            <w:vAlign w:val="center"/>
          </w:tcPr>
          <w:p w14:paraId="186B675F">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vMerge w:val="restart"/>
            <w:tcBorders>
              <w:tl2br w:val="nil"/>
              <w:tr2bl w:val="nil"/>
            </w:tcBorders>
            <w:vAlign w:val="center"/>
          </w:tcPr>
          <w:p w14:paraId="5ADC74F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vMerge w:val="restart"/>
            <w:tcBorders>
              <w:tl2br w:val="nil"/>
              <w:tr2bl w:val="nil"/>
            </w:tcBorders>
            <w:vAlign w:val="center"/>
          </w:tcPr>
          <w:p w14:paraId="6268F34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营养素干混过程</w:t>
            </w:r>
          </w:p>
        </w:tc>
        <w:tc>
          <w:tcPr>
            <w:tcW w:w="469" w:type="pct"/>
            <w:vMerge w:val="restart"/>
            <w:tcBorders>
              <w:tl2br w:val="nil"/>
              <w:tr2bl w:val="nil"/>
            </w:tcBorders>
            <w:vAlign w:val="center"/>
          </w:tcPr>
          <w:p w14:paraId="3F04EE6B">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营养素干混均匀性质量异常</w:t>
            </w:r>
          </w:p>
        </w:tc>
        <w:tc>
          <w:tcPr>
            <w:tcW w:w="1025" w:type="pct"/>
            <w:tcBorders>
              <w:bottom w:val="single" w:color="auto" w:sz="4" w:space="0"/>
              <w:tl2br w:val="nil"/>
              <w:tr2bl w:val="nil"/>
            </w:tcBorders>
            <w:vAlign w:val="center"/>
          </w:tcPr>
          <w:p w14:paraId="23AD5326">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.干混参数设定异常导致干混后产品质量异常、混合不均有残粉；</w:t>
            </w:r>
          </w:p>
        </w:tc>
        <w:tc>
          <w:tcPr>
            <w:tcW w:w="1136" w:type="pct"/>
            <w:tcBorders>
              <w:bottom w:val="single" w:color="auto" w:sz="4" w:space="0"/>
              <w:tl2br w:val="nil"/>
              <w:tr2bl w:val="nil"/>
            </w:tcBorders>
            <w:vAlign w:val="center"/>
          </w:tcPr>
          <w:p w14:paraId="662EAC05">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干混时查看重量曲线是否正常；设备功能不支持重量曲线的，使用</w:t>
            </w:r>
            <w:r>
              <w:rPr>
                <w:rFonts w:hint="eastAsia" w:ascii="Times New Roman" w:hAnsi="Times New Roman" w:eastAsia="仿宋_GB2312" w:cs="仿宋_GB2312"/>
                <w:color w:val="000000"/>
                <w:kern w:val="0"/>
                <w:sz w:val="24"/>
                <w:lang w:bidi="ar"/>
              </w:rPr>
              <w:t>MES</w:t>
            </w:r>
            <w:r>
              <w:rPr>
                <w:rFonts w:hint="eastAsia" w:ascii="仿宋" w:hAnsi="仿宋" w:eastAsia="仿宋_GB2312" w:cs="仿宋_GB2312"/>
                <w:color w:val="000000"/>
                <w:kern w:val="0"/>
                <w:sz w:val="24"/>
                <w:lang w:bidi="ar"/>
              </w:rPr>
              <w:t>称量系统复核干混重量；</w:t>
            </w:r>
          </w:p>
          <w:p w14:paraId="5CB27171">
            <w:pP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预混参数、干混参数调整需有相应级别权限确认；</w:t>
            </w:r>
          </w:p>
        </w:tc>
        <w:tc>
          <w:tcPr>
            <w:tcW w:w="386" w:type="pct"/>
            <w:vMerge w:val="restart"/>
            <w:tcBorders>
              <w:tl2br w:val="nil"/>
              <w:tr2bl w:val="nil"/>
            </w:tcBorders>
            <w:vAlign w:val="center"/>
          </w:tcPr>
          <w:p w14:paraId="609BFF99">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vMerge w:val="restart"/>
            <w:tcBorders>
              <w:tl2br w:val="nil"/>
              <w:tr2bl w:val="nil"/>
            </w:tcBorders>
            <w:vAlign w:val="center"/>
          </w:tcPr>
          <w:p w14:paraId="353F170D">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符合内控要求</w:t>
            </w:r>
          </w:p>
        </w:tc>
        <w:tc>
          <w:tcPr>
            <w:tcW w:w="347" w:type="pct"/>
            <w:vMerge w:val="restart"/>
            <w:tcBorders>
              <w:tl2br w:val="nil"/>
              <w:tr2bl w:val="nil"/>
            </w:tcBorders>
            <w:vAlign w:val="center"/>
          </w:tcPr>
          <w:p w14:paraId="7DB0A2AF">
            <w:pPr>
              <w:jc w:val="left"/>
              <w:rPr>
                <w:rFonts w:ascii="仿宋" w:hAnsi="仿宋" w:eastAsia="仿宋" w:cs="仿宋_GB2312"/>
                <w:color w:val="000000"/>
                <w:sz w:val="24"/>
              </w:rPr>
            </w:pPr>
          </w:p>
        </w:tc>
      </w:tr>
      <w:tr w14:paraId="67FCE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continue"/>
            <w:tcBorders>
              <w:tl2br w:val="nil"/>
              <w:tr2bl w:val="nil"/>
            </w:tcBorders>
            <w:vAlign w:val="center"/>
          </w:tcPr>
          <w:p w14:paraId="174512EB">
            <w:pPr>
              <w:widowControl/>
              <w:jc w:val="center"/>
              <w:textAlignment w:val="center"/>
              <w:rPr>
                <w:rFonts w:ascii="仿宋" w:hAnsi="仿宋" w:eastAsia="仿宋_GB2312" w:cs="仿宋_GB2312"/>
                <w:color w:val="000000"/>
                <w:kern w:val="0"/>
                <w:sz w:val="24"/>
                <w:lang w:bidi="ar"/>
              </w:rPr>
            </w:pPr>
          </w:p>
        </w:tc>
        <w:tc>
          <w:tcPr>
            <w:tcW w:w="277" w:type="pct"/>
            <w:vMerge w:val="continue"/>
            <w:tcBorders>
              <w:tl2br w:val="nil"/>
              <w:tr2bl w:val="nil"/>
            </w:tcBorders>
            <w:vAlign w:val="center"/>
          </w:tcPr>
          <w:p w14:paraId="4E637A1C">
            <w:pPr>
              <w:widowControl/>
              <w:jc w:val="center"/>
              <w:textAlignment w:val="center"/>
              <w:rPr>
                <w:rFonts w:ascii="Times New Roman" w:hAnsi="Times New Roman" w:eastAsia="仿宋_GB2312" w:cs="仿宋_GB2312"/>
                <w:color w:val="000000"/>
                <w:kern w:val="0"/>
                <w:sz w:val="24"/>
                <w:lang w:bidi="ar"/>
              </w:rPr>
            </w:pPr>
          </w:p>
        </w:tc>
        <w:tc>
          <w:tcPr>
            <w:tcW w:w="279" w:type="pct"/>
            <w:vMerge w:val="continue"/>
            <w:tcBorders>
              <w:tl2br w:val="nil"/>
              <w:tr2bl w:val="nil"/>
            </w:tcBorders>
            <w:vAlign w:val="center"/>
          </w:tcPr>
          <w:p w14:paraId="1532E1AC">
            <w:pPr>
              <w:widowControl/>
              <w:jc w:val="center"/>
              <w:textAlignment w:val="center"/>
              <w:rPr>
                <w:rFonts w:ascii="仿宋" w:hAnsi="仿宋" w:eastAsia="仿宋_GB2312" w:cs="仿宋_GB2312"/>
                <w:color w:val="000000"/>
                <w:kern w:val="0"/>
                <w:sz w:val="24"/>
                <w:lang w:bidi="ar"/>
              </w:rPr>
            </w:pPr>
          </w:p>
        </w:tc>
        <w:tc>
          <w:tcPr>
            <w:tcW w:w="327" w:type="pct"/>
            <w:vMerge w:val="continue"/>
            <w:tcBorders>
              <w:tl2br w:val="nil"/>
              <w:tr2bl w:val="nil"/>
            </w:tcBorders>
            <w:vAlign w:val="center"/>
          </w:tcPr>
          <w:p w14:paraId="138D4074">
            <w:pPr>
              <w:widowControl/>
              <w:jc w:val="center"/>
              <w:textAlignment w:val="center"/>
              <w:rPr>
                <w:rFonts w:ascii="仿宋" w:hAnsi="仿宋" w:eastAsia="仿宋_GB2312" w:cs="仿宋_GB2312"/>
                <w:color w:val="000000"/>
                <w:kern w:val="0"/>
                <w:sz w:val="24"/>
                <w:lang w:bidi="ar"/>
              </w:rPr>
            </w:pPr>
          </w:p>
        </w:tc>
        <w:tc>
          <w:tcPr>
            <w:tcW w:w="469" w:type="pct"/>
            <w:vMerge w:val="continue"/>
            <w:tcBorders>
              <w:tl2br w:val="nil"/>
              <w:tr2bl w:val="nil"/>
            </w:tcBorders>
            <w:vAlign w:val="center"/>
          </w:tcPr>
          <w:p w14:paraId="054BE9CF">
            <w:pPr>
              <w:widowControl/>
              <w:textAlignment w:val="center"/>
              <w:rPr>
                <w:rFonts w:ascii="仿宋" w:hAnsi="仿宋" w:eastAsia="仿宋_GB2312" w:cs="仿宋_GB2312"/>
                <w:color w:val="000000"/>
                <w:kern w:val="0"/>
                <w:sz w:val="24"/>
                <w:lang w:bidi="ar"/>
              </w:rPr>
            </w:pPr>
          </w:p>
        </w:tc>
        <w:tc>
          <w:tcPr>
            <w:tcW w:w="1025" w:type="pct"/>
            <w:tcBorders>
              <w:top w:val="single" w:color="auto" w:sz="4" w:space="0"/>
              <w:tl2br w:val="nil"/>
              <w:tr2bl w:val="nil"/>
            </w:tcBorders>
            <w:vAlign w:val="center"/>
          </w:tcPr>
          <w:p w14:paraId="2B5D21B8">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.输送管路系统清场不彻底，残粉遗留导致不同品项间交叉。</w:t>
            </w:r>
          </w:p>
        </w:tc>
        <w:tc>
          <w:tcPr>
            <w:tcW w:w="1136" w:type="pct"/>
            <w:tcBorders>
              <w:top w:val="single" w:color="auto" w:sz="4" w:space="0"/>
              <w:tl2br w:val="nil"/>
              <w:tr2bl w:val="nil"/>
            </w:tcBorders>
            <w:vAlign w:val="center"/>
          </w:tcPr>
          <w:p w14:paraId="1A691630">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生产过程中防止混粉，每次切换粉种时延长干混系统抽粉时间（抽粉压力＞</w:t>
            </w:r>
            <w:r>
              <w:rPr>
                <w:rFonts w:hint="eastAsia" w:ascii="Times New Roman" w:hAnsi="Times New Roman" w:eastAsia="仿宋_GB2312" w:cs="仿宋_GB2312"/>
                <w:color w:val="000000"/>
                <w:kern w:val="0"/>
                <w:sz w:val="24"/>
                <w:lang w:bidi="ar"/>
              </w:rPr>
              <w:t>80kPa</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30s</w:t>
            </w:r>
            <w:r>
              <w:rPr>
                <w:rFonts w:hint="eastAsia" w:ascii="仿宋" w:hAnsi="仿宋" w:eastAsia="仿宋_GB2312" w:cs="仿宋_GB2312"/>
                <w:color w:val="000000"/>
                <w:kern w:val="0"/>
                <w:sz w:val="24"/>
                <w:lang w:bidi="ar"/>
              </w:rPr>
              <w:t>），减少干混系统内的残粉；粉仓需配置气锤、流化器等设备保证粉仓内无残粉；</w:t>
            </w:r>
          </w:p>
          <w:p w14:paraId="4108AECE">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生产过程中禁止人为手动敲粉；系统气锤严禁生产过程点动操作；严禁敲打包装机粉仓、干混机、预混机等，若存在敲击，将粉排出并报废处理。</w:t>
            </w:r>
          </w:p>
        </w:tc>
        <w:tc>
          <w:tcPr>
            <w:tcW w:w="386" w:type="pct"/>
            <w:vMerge w:val="continue"/>
            <w:tcBorders>
              <w:tl2br w:val="nil"/>
              <w:tr2bl w:val="nil"/>
            </w:tcBorders>
            <w:vAlign w:val="center"/>
          </w:tcPr>
          <w:p w14:paraId="39954954">
            <w:pPr>
              <w:widowControl/>
              <w:jc w:val="center"/>
              <w:textAlignment w:val="center"/>
              <w:rPr>
                <w:rFonts w:ascii="仿宋" w:hAnsi="仿宋" w:eastAsia="仿宋_GB2312" w:cs="仿宋_GB2312"/>
                <w:color w:val="000000"/>
                <w:kern w:val="0"/>
                <w:sz w:val="24"/>
                <w:lang w:bidi="ar"/>
              </w:rPr>
            </w:pPr>
          </w:p>
        </w:tc>
        <w:tc>
          <w:tcPr>
            <w:tcW w:w="466" w:type="pct"/>
            <w:vMerge w:val="continue"/>
            <w:tcBorders>
              <w:tl2br w:val="nil"/>
              <w:tr2bl w:val="nil"/>
            </w:tcBorders>
            <w:vAlign w:val="center"/>
          </w:tcPr>
          <w:p w14:paraId="54A1DECB">
            <w:pPr>
              <w:widowControl/>
              <w:jc w:val="left"/>
              <w:textAlignment w:val="center"/>
              <w:rPr>
                <w:rFonts w:ascii="仿宋" w:hAnsi="仿宋" w:eastAsia="仿宋_GB2312" w:cs="仿宋_GB2312"/>
                <w:color w:val="000000"/>
                <w:kern w:val="0"/>
                <w:sz w:val="24"/>
                <w:lang w:bidi="ar"/>
              </w:rPr>
            </w:pPr>
          </w:p>
        </w:tc>
        <w:tc>
          <w:tcPr>
            <w:tcW w:w="347" w:type="pct"/>
            <w:vMerge w:val="continue"/>
            <w:tcBorders>
              <w:tl2br w:val="nil"/>
              <w:tr2bl w:val="nil"/>
            </w:tcBorders>
            <w:vAlign w:val="center"/>
          </w:tcPr>
          <w:p w14:paraId="1C5A4B01">
            <w:pPr>
              <w:jc w:val="left"/>
              <w:rPr>
                <w:rFonts w:ascii="仿宋" w:hAnsi="仿宋" w:eastAsia="仿宋" w:cs="仿宋_GB2312"/>
                <w:color w:val="000000"/>
                <w:sz w:val="24"/>
              </w:rPr>
            </w:pPr>
          </w:p>
        </w:tc>
      </w:tr>
      <w:tr w14:paraId="768CB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1732FE6A">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5E4397CF">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487E09C0">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23D798C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营养素干混过程</w:t>
            </w:r>
          </w:p>
        </w:tc>
        <w:tc>
          <w:tcPr>
            <w:tcW w:w="469" w:type="pct"/>
            <w:tcBorders>
              <w:tl2br w:val="nil"/>
              <w:tr2bl w:val="nil"/>
            </w:tcBorders>
            <w:vAlign w:val="center"/>
          </w:tcPr>
          <w:p w14:paraId="5709F71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营养素干混质量异常</w:t>
            </w:r>
          </w:p>
        </w:tc>
        <w:tc>
          <w:tcPr>
            <w:tcW w:w="1025" w:type="pct"/>
            <w:tcBorders>
              <w:tl2br w:val="nil"/>
              <w:tr2bl w:val="nil"/>
            </w:tcBorders>
            <w:vAlign w:val="center"/>
          </w:tcPr>
          <w:p w14:paraId="57220000">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营养素干混权限管理失效，无权限违规使用。</w:t>
            </w:r>
          </w:p>
        </w:tc>
        <w:tc>
          <w:tcPr>
            <w:tcW w:w="1136" w:type="pct"/>
            <w:tcBorders>
              <w:tl2br w:val="nil"/>
              <w:tr2bl w:val="nil"/>
            </w:tcBorders>
            <w:vAlign w:val="center"/>
          </w:tcPr>
          <w:p w14:paraId="2AB4A111">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.操作工按照相应制度规定的权限进行操作；</w:t>
            </w:r>
          </w:p>
          <w:p w14:paraId="77A8E405">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.系统后台记录相应权限登录、登出的时间和对阀门的操作记录；</w:t>
            </w:r>
          </w:p>
          <w:p w14:paraId="5C56D349">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.干混机设定值调整、干混机底阀手动操作、干混机下料门手动操作、预混机盖子手动打开，以上权限需为主管级以上人员权限或授权；</w:t>
            </w:r>
          </w:p>
          <w:p w14:paraId="0363390D">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.干混机和预混机电机异常报警复位需要相应权限复位。</w:t>
            </w:r>
          </w:p>
        </w:tc>
        <w:tc>
          <w:tcPr>
            <w:tcW w:w="386" w:type="pct"/>
            <w:tcBorders>
              <w:tl2br w:val="nil"/>
              <w:tr2bl w:val="nil"/>
            </w:tcBorders>
            <w:vAlign w:val="center"/>
          </w:tcPr>
          <w:p w14:paraId="6C9A3C74">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定期</w:t>
            </w:r>
          </w:p>
        </w:tc>
        <w:tc>
          <w:tcPr>
            <w:tcW w:w="466" w:type="pct"/>
            <w:tcBorders>
              <w:tl2br w:val="nil"/>
              <w:tr2bl w:val="nil"/>
            </w:tcBorders>
            <w:vAlign w:val="center"/>
          </w:tcPr>
          <w:p w14:paraId="77CECBF8">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符合标准和内控要求</w:t>
            </w:r>
          </w:p>
        </w:tc>
        <w:tc>
          <w:tcPr>
            <w:tcW w:w="347" w:type="pct"/>
            <w:tcBorders>
              <w:tl2br w:val="nil"/>
              <w:tr2bl w:val="nil"/>
            </w:tcBorders>
            <w:vAlign w:val="center"/>
          </w:tcPr>
          <w:p w14:paraId="45EED4B5">
            <w:pPr>
              <w:jc w:val="left"/>
              <w:rPr>
                <w:rFonts w:ascii="仿宋" w:hAnsi="仿宋" w:eastAsia="仿宋" w:cs="仿宋_GB2312"/>
                <w:color w:val="000000"/>
                <w:sz w:val="24"/>
              </w:rPr>
            </w:pPr>
          </w:p>
        </w:tc>
      </w:tr>
      <w:tr w14:paraId="25943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645A34B1">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7CE943DF">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676A31F4">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7553CA1A">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投粉过程</w:t>
            </w:r>
          </w:p>
        </w:tc>
        <w:tc>
          <w:tcPr>
            <w:tcW w:w="469" w:type="pct"/>
            <w:tcBorders>
              <w:tl2br w:val="nil"/>
              <w:tr2bl w:val="nil"/>
            </w:tcBorders>
            <w:vAlign w:val="center"/>
          </w:tcPr>
          <w:p w14:paraId="31942DA9">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投料间下粉过筛与输送</w:t>
            </w:r>
          </w:p>
        </w:tc>
        <w:tc>
          <w:tcPr>
            <w:tcW w:w="1025" w:type="pct"/>
            <w:tcBorders>
              <w:tl2br w:val="nil"/>
              <w:tr2bl w:val="nil"/>
            </w:tcBorders>
            <w:vAlign w:val="center"/>
          </w:tcPr>
          <w:p w14:paraId="5B7F0143">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.筛网孔径不符合标准要求；</w:t>
            </w:r>
          </w:p>
          <w:p w14:paraId="7E68E531">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.清洁消毒拆卸过程中损坏金属丝，导致将异物带入产品；</w:t>
            </w:r>
          </w:p>
          <w:p w14:paraId="18C968F1">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.螺杆变形或安装不当刮擦产生金属；</w:t>
            </w:r>
          </w:p>
          <w:p w14:paraId="64340230">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.密封圈、钢丝软管、软连接破损；</w:t>
            </w:r>
          </w:p>
          <w:p w14:paraId="2D22AA84">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5</w:t>
            </w:r>
            <w:r>
              <w:rPr>
                <w:rFonts w:hint="eastAsia" w:ascii="仿宋" w:hAnsi="仿宋" w:eastAsia="仿宋_GB2312" w:cs="仿宋_GB2312"/>
                <w:color w:val="000000"/>
                <w:kern w:val="0"/>
                <w:sz w:val="24"/>
                <w:lang w:bidi="ar"/>
              </w:rPr>
              <w:t>.压缩空气除油、除水、除菌能力失效；</w:t>
            </w:r>
          </w:p>
          <w:p w14:paraId="615CDEBE">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6</w:t>
            </w:r>
            <w:r>
              <w:rPr>
                <w:rFonts w:hint="eastAsia" w:ascii="仿宋" w:hAnsi="仿宋" w:eastAsia="仿宋_GB2312" w:cs="仿宋_GB2312"/>
                <w:color w:val="000000"/>
                <w:kern w:val="0"/>
                <w:sz w:val="24"/>
                <w:lang w:bidi="ar"/>
              </w:rPr>
              <w:t>.不同品项粉残留在振动管、振动筛处未清理。</w:t>
            </w:r>
          </w:p>
        </w:tc>
        <w:tc>
          <w:tcPr>
            <w:tcW w:w="1136" w:type="pct"/>
            <w:tcBorders>
              <w:tl2br w:val="nil"/>
              <w:tr2bl w:val="nil"/>
            </w:tcBorders>
            <w:vAlign w:val="center"/>
          </w:tcPr>
          <w:p w14:paraId="585E0E76">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.选择筛孔尺寸≥</w:t>
            </w:r>
            <w:r>
              <w:rPr>
                <w:rFonts w:hint="eastAsia" w:ascii="Times New Roman" w:hAnsi="Times New Roman" w:eastAsia="仿宋_GB2312" w:cs="仿宋_GB2312"/>
                <w:color w:val="000000"/>
                <w:kern w:val="0"/>
                <w:sz w:val="24"/>
                <w:lang w:bidi="ar"/>
              </w:rPr>
              <w:t>10</w:t>
            </w:r>
            <w:r>
              <w:rPr>
                <w:rFonts w:hint="eastAsia" w:ascii="仿宋" w:hAnsi="仿宋" w:eastAsia="仿宋_GB2312" w:cs="仿宋_GB2312"/>
                <w:color w:val="000000"/>
                <w:kern w:val="0"/>
                <w:sz w:val="24"/>
                <w:lang w:bidi="ar"/>
              </w:rPr>
              <w:t>目的振动筛；</w:t>
            </w:r>
          </w:p>
          <w:p w14:paraId="04C207C7">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.每班收集振动筛上和筛漏粉中的异物以及磁铁吸附异物，分析异物来源，将倾倒站振动筛排料粉作报废处理；</w:t>
            </w:r>
          </w:p>
          <w:p w14:paraId="60644D8E">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.螺杆拆卸时使用专用螺杆架放置，安装后测试是否有异响，杂质度验证合格后使用；</w:t>
            </w:r>
          </w:p>
          <w:p w14:paraId="0BA34927">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.每日点检输粉管路各处密封垫、软连接完好无破损，密封无漏粉、漏气；</w:t>
            </w:r>
          </w:p>
          <w:p w14:paraId="20B1C66D">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5</w:t>
            </w:r>
            <w:r>
              <w:rPr>
                <w:rFonts w:hint="eastAsia" w:ascii="仿宋" w:hAnsi="仿宋" w:eastAsia="仿宋_GB2312" w:cs="仿宋_GB2312"/>
                <w:color w:val="000000"/>
                <w:kern w:val="0"/>
                <w:sz w:val="24"/>
                <w:lang w:bidi="ar"/>
              </w:rPr>
              <w:t>.每周测试压缩空气，要求无水、无油、无微生物检出；</w:t>
            </w:r>
          </w:p>
          <w:p w14:paraId="41D5FDFB">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6</w:t>
            </w:r>
            <w:r>
              <w:rPr>
                <w:rFonts w:hint="eastAsia" w:ascii="仿宋" w:hAnsi="仿宋" w:eastAsia="仿宋_GB2312" w:cs="仿宋_GB2312"/>
                <w:color w:val="000000"/>
                <w:kern w:val="0"/>
                <w:sz w:val="24"/>
                <w:lang w:bidi="ar"/>
              </w:rPr>
              <w:t>.投料工上完一个品项粉后对倾倒站内壁进行清理，防止残留；倾倒口用刷子清扫后，目视检查倾倒口、振动管处无粉残留，振动筛内无粉残留。</w:t>
            </w:r>
          </w:p>
        </w:tc>
        <w:tc>
          <w:tcPr>
            <w:tcW w:w="386" w:type="pct"/>
            <w:tcBorders>
              <w:tl2br w:val="nil"/>
              <w:tr2bl w:val="nil"/>
            </w:tcBorders>
            <w:vAlign w:val="center"/>
          </w:tcPr>
          <w:p w14:paraId="427439D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每班生产结束后</w:t>
            </w:r>
          </w:p>
        </w:tc>
        <w:tc>
          <w:tcPr>
            <w:tcW w:w="466" w:type="pct"/>
            <w:tcBorders>
              <w:tl2br w:val="nil"/>
              <w:tr2bl w:val="nil"/>
            </w:tcBorders>
            <w:vAlign w:val="center"/>
          </w:tcPr>
          <w:p w14:paraId="16E8A396">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符合标准和内控要求</w:t>
            </w:r>
          </w:p>
        </w:tc>
        <w:tc>
          <w:tcPr>
            <w:tcW w:w="347" w:type="pct"/>
            <w:tcBorders>
              <w:tl2br w:val="nil"/>
              <w:tr2bl w:val="nil"/>
            </w:tcBorders>
            <w:vAlign w:val="center"/>
          </w:tcPr>
          <w:p w14:paraId="5E8750AF">
            <w:pPr>
              <w:jc w:val="left"/>
              <w:rPr>
                <w:rFonts w:ascii="仿宋" w:hAnsi="仿宋" w:eastAsia="仿宋" w:cs="仿宋_GB2312"/>
                <w:color w:val="000000"/>
                <w:sz w:val="24"/>
              </w:rPr>
            </w:pPr>
          </w:p>
        </w:tc>
      </w:tr>
      <w:tr w14:paraId="1A6A1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5F175209">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41EAE51E">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50485CBC">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0095D03F">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生产混料过程</w:t>
            </w:r>
          </w:p>
        </w:tc>
        <w:tc>
          <w:tcPr>
            <w:tcW w:w="469" w:type="pct"/>
            <w:tcBorders>
              <w:tl2br w:val="nil"/>
              <w:tr2bl w:val="nil"/>
            </w:tcBorders>
            <w:vAlign w:val="center"/>
          </w:tcPr>
          <w:p w14:paraId="301062A4">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投料站误投物料</w:t>
            </w:r>
          </w:p>
        </w:tc>
        <w:tc>
          <w:tcPr>
            <w:tcW w:w="1025" w:type="pct"/>
            <w:tcBorders>
              <w:tl2br w:val="nil"/>
              <w:tr2bl w:val="nil"/>
            </w:tcBorders>
            <w:vAlign w:val="center"/>
          </w:tcPr>
          <w:p w14:paraId="0382D3E7">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物料投料时，物料种类投错，导致终产品指标异常。</w:t>
            </w:r>
          </w:p>
        </w:tc>
        <w:tc>
          <w:tcPr>
            <w:tcW w:w="1136" w:type="pct"/>
            <w:tcBorders>
              <w:tl2br w:val="nil"/>
              <w:tr2bl w:val="nil"/>
            </w:tcBorders>
            <w:vAlign w:val="center"/>
          </w:tcPr>
          <w:p w14:paraId="47CEA4F9">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.操作工核对拟添加原料信息与配方设定一致性，投料应复核；</w:t>
            </w:r>
          </w:p>
          <w:p w14:paraId="73488B63">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.同一贮存粉罐切换不同粉种时，将粉罐中的原有残粉排空；</w:t>
            </w:r>
          </w:p>
          <w:p w14:paraId="15E84A27">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.配料至最后一批时，在抽粉程序结束后，间歇振动</w:t>
            </w: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分钟，操作工对粉罐进行手动清空，拆卸抽粉软管及蝶阀，进行清理，目视内部无残留，配粉工段清场人员清场以后，负责填写清场记录，并对清场进行复核。</w:t>
            </w:r>
          </w:p>
        </w:tc>
        <w:tc>
          <w:tcPr>
            <w:tcW w:w="386" w:type="pct"/>
            <w:tcBorders>
              <w:tl2br w:val="nil"/>
              <w:tr2bl w:val="nil"/>
            </w:tcBorders>
            <w:vAlign w:val="center"/>
          </w:tcPr>
          <w:p w14:paraId="585EC781">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tcBorders>
              <w:tl2br w:val="nil"/>
              <w:tr2bl w:val="nil"/>
            </w:tcBorders>
            <w:vAlign w:val="center"/>
          </w:tcPr>
          <w:p w14:paraId="3C67ABDF">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符合标准和内控要求</w:t>
            </w:r>
          </w:p>
        </w:tc>
        <w:tc>
          <w:tcPr>
            <w:tcW w:w="347" w:type="pct"/>
            <w:tcBorders>
              <w:tl2br w:val="nil"/>
              <w:tr2bl w:val="nil"/>
            </w:tcBorders>
            <w:vAlign w:val="center"/>
          </w:tcPr>
          <w:p w14:paraId="4B05AF2E">
            <w:pPr>
              <w:jc w:val="left"/>
              <w:rPr>
                <w:rFonts w:ascii="仿宋" w:hAnsi="仿宋" w:eastAsia="仿宋" w:cs="仿宋_GB2312"/>
                <w:color w:val="000000"/>
                <w:sz w:val="24"/>
              </w:rPr>
            </w:pPr>
          </w:p>
        </w:tc>
      </w:tr>
      <w:tr w14:paraId="27599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restart"/>
            <w:tcBorders>
              <w:tl2br w:val="nil"/>
              <w:tr2bl w:val="nil"/>
            </w:tcBorders>
            <w:vAlign w:val="center"/>
          </w:tcPr>
          <w:p w14:paraId="2075DD48">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vMerge w:val="restart"/>
            <w:tcBorders>
              <w:tl2br w:val="nil"/>
              <w:tr2bl w:val="nil"/>
            </w:tcBorders>
            <w:vAlign w:val="center"/>
          </w:tcPr>
          <w:p w14:paraId="77E84DE1">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vMerge w:val="restart"/>
            <w:tcBorders>
              <w:tl2br w:val="nil"/>
              <w:tr2bl w:val="nil"/>
            </w:tcBorders>
            <w:vAlign w:val="center"/>
          </w:tcPr>
          <w:p w14:paraId="51D76E0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vMerge w:val="restart"/>
            <w:tcBorders>
              <w:tl2br w:val="nil"/>
              <w:tr2bl w:val="nil"/>
            </w:tcBorders>
            <w:vAlign w:val="center"/>
          </w:tcPr>
          <w:p w14:paraId="1427B82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上听过程</w:t>
            </w:r>
          </w:p>
        </w:tc>
        <w:tc>
          <w:tcPr>
            <w:tcW w:w="469" w:type="pct"/>
            <w:vMerge w:val="restart"/>
            <w:tcBorders>
              <w:tl2br w:val="nil"/>
              <w:tr2bl w:val="nil"/>
            </w:tcBorders>
            <w:vAlign w:val="center"/>
          </w:tcPr>
          <w:p w14:paraId="4CF7F386">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铁听误用及引入异物风险</w:t>
            </w:r>
          </w:p>
        </w:tc>
        <w:tc>
          <w:tcPr>
            <w:tcW w:w="1025" w:type="pct"/>
            <w:tcBorders>
              <w:bottom w:val="single" w:color="auto" w:sz="4" w:space="0"/>
              <w:tl2br w:val="nil"/>
              <w:tr2bl w:val="nil"/>
            </w:tcBorders>
            <w:vAlign w:val="center"/>
          </w:tcPr>
          <w:p w14:paraId="75DEB790">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.上听前未核对铁听信息；</w:t>
            </w:r>
          </w:p>
        </w:tc>
        <w:tc>
          <w:tcPr>
            <w:tcW w:w="1136" w:type="pct"/>
            <w:tcBorders>
              <w:bottom w:val="single" w:color="auto" w:sz="4" w:space="0"/>
              <w:tl2br w:val="nil"/>
              <w:tr2bl w:val="nil"/>
            </w:tcBorders>
            <w:vAlign w:val="center"/>
          </w:tcPr>
          <w:p w14:paraId="60B6DCCB">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拆听时复核或扫描包装信息，核对铁听标识、规格、厂家与计划是否一致；</w:t>
            </w:r>
          </w:p>
          <w:p w14:paraId="29BF6633">
            <w:pP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在线剔除装置模板正确，能够实施有效剔除；</w:t>
            </w:r>
          </w:p>
        </w:tc>
        <w:tc>
          <w:tcPr>
            <w:tcW w:w="386" w:type="pct"/>
            <w:vMerge w:val="restart"/>
            <w:tcBorders>
              <w:tl2br w:val="nil"/>
              <w:tr2bl w:val="nil"/>
            </w:tcBorders>
            <w:vAlign w:val="center"/>
          </w:tcPr>
          <w:p w14:paraId="42CDF09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vMerge w:val="restart"/>
            <w:tcBorders>
              <w:tl2br w:val="nil"/>
              <w:tr2bl w:val="nil"/>
            </w:tcBorders>
            <w:vAlign w:val="center"/>
          </w:tcPr>
          <w:p w14:paraId="003DD883">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符合标准和内控要求</w:t>
            </w:r>
          </w:p>
        </w:tc>
        <w:tc>
          <w:tcPr>
            <w:tcW w:w="347" w:type="pct"/>
            <w:vMerge w:val="restart"/>
            <w:tcBorders>
              <w:tl2br w:val="nil"/>
              <w:tr2bl w:val="nil"/>
            </w:tcBorders>
            <w:vAlign w:val="center"/>
          </w:tcPr>
          <w:p w14:paraId="2DBE88CF">
            <w:pPr>
              <w:jc w:val="left"/>
              <w:rPr>
                <w:rFonts w:ascii="仿宋" w:hAnsi="仿宋" w:eastAsia="仿宋" w:cs="仿宋_GB2312"/>
                <w:color w:val="000000"/>
                <w:sz w:val="24"/>
              </w:rPr>
            </w:pPr>
          </w:p>
        </w:tc>
      </w:tr>
      <w:tr w14:paraId="3DC46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continue"/>
            <w:tcBorders>
              <w:tl2br w:val="nil"/>
              <w:tr2bl w:val="nil"/>
            </w:tcBorders>
            <w:vAlign w:val="center"/>
          </w:tcPr>
          <w:p w14:paraId="7DAEDDEE">
            <w:pPr>
              <w:widowControl/>
              <w:jc w:val="center"/>
              <w:textAlignment w:val="center"/>
              <w:rPr>
                <w:rFonts w:ascii="仿宋" w:hAnsi="仿宋" w:eastAsia="仿宋_GB2312" w:cs="仿宋_GB2312"/>
                <w:color w:val="000000"/>
                <w:kern w:val="0"/>
                <w:sz w:val="24"/>
                <w:lang w:bidi="ar"/>
              </w:rPr>
            </w:pPr>
          </w:p>
        </w:tc>
        <w:tc>
          <w:tcPr>
            <w:tcW w:w="277" w:type="pct"/>
            <w:vMerge w:val="continue"/>
            <w:tcBorders>
              <w:tl2br w:val="nil"/>
              <w:tr2bl w:val="nil"/>
            </w:tcBorders>
            <w:vAlign w:val="center"/>
          </w:tcPr>
          <w:p w14:paraId="2CEE2338">
            <w:pPr>
              <w:widowControl/>
              <w:jc w:val="center"/>
              <w:textAlignment w:val="center"/>
              <w:rPr>
                <w:rFonts w:ascii="Times New Roman" w:hAnsi="Times New Roman" w:eastAsia="仿宋_GB2312" w:cs="仿宋_GB2312"/>
                <w:color w:val="000000"/>
                <w:kern w:val="0"/>
                <w:sz w:val="24"/>
                <w:lang w:bidi="ar"/>
              </w:rPr>
            </w:pPr>
          </w:p>
        </w:tc>
        <w:tc>
          <w:tcPr>
            <w:tcW w:w="279" w:type="pct"/>
            <w:vMerge w:val="continue"/>
            <w:tcBorders>
              <w:tl2br w:val="nil"/>
              <w:tr2bl w:val="nil"/>
            </w:tcBorders>
            <w:vAlign w:val="center"/>
          </w:tcPr>
          <w:p w14:paraId="3D432759">
            <w:pPr>
              <w:widowControl/>
              <w:jc w:val="center"/>
              <w:textAlignment w:val="center"/>
              <w:rPr>
                <w:rFonts w:ascii="仿宋" w:hAnsi="仿宋" w:eastAsia="仿宋_GB2312" w:cs="仿宋_GB2312"/>
                <w:color w:val="000000"/>
                <w:kern w:val="0"/>
                <w:sz w:val="24"/>
                <w:lang w:bidi="ar"/>
              </w:rPr>
            </w:pPr>
          </w:p>
        </w:tc>
        <w:tc>
          <w:tcPr>
            <w:tcW w:w="327" w:type="pct"/>
            <w:vMerge w:val="continue"/>
            <w:tcBorders>
              <w:tl2br w:val="nil"/>
              <w:tr2bl w:val="nil"/>
            </w:tcBorders>
            <w:vAlign w:val="center"/>
          </w:tcPr>
          <w:p w14:paraId="12A0D36E">
            <w:pPr>
              <w:widowControl/>
              <w:jc w:val="center"/>
              <w:textAlignment w:val="center"/>
              <w:rPr>
                <w:rFonts w:ascii="仿宋" w:hAnsi="仿宋" w:eastAsia="仿宋_GB2312" w:cs="仿宋_GB2312"/>
                <w:color w:val="000000"/>
                <w:kern w:val="0"/>
                <w:sz w:val="24"/>
                <w:lang w:bidi="ar"/>
              </w:rPr>
            </w:pPr>
          </w:p>
        </w:tc>
        <w:tc>
          <w:tcPr>
            <w:tcW w:w="469" w:type="pct"/>
            <w:vMerge w:val="continue"/>
            <w:tcBorders>
              <w:tl2br w:val="nil"/>
              <w:tr2bl w:val="nil"/>
            </w:tcBorders>
            <w:vAlign w:val="center"/>
          </w:tcPr>
          <w:p w14:paraId="78A81E04">
            <w:pPr>
              <w:widowControl/>
              <w:textAlignment w:val="center"/>
              <w:rPr>
                <w:rFonts w:ascii="仿宋" w:hAnsi="仿宋" w:eastAsia="仿宋_GB2312" w:cs="仿宋_GB2312"/>
                <w:color w:val="000000"/>
                <w:kern w:val="0"/>
                <w:sz w:val="24"/>
                <w:lang w:bidi="ar"/>
              </w:rPr>
            </w:pPr>
          </w:p>
        </w:tc>
        <w:tc>
          <w:tcPr>
            <w:tcW w:w="1025" w:type="pct"/>
            <w:tcBorders>
              <w:top w:val="single" w:color="auto" w:sz="4" w:space="0"/>
              <w:bottom w:val="single" w:color="auto" w:sz="4" w:space="0"/>
              <w:tl2br w:val="nil"/>
              <w:tr2bl w:val="nil"/>
            </w:tcBorders>
            <w:vAlign w:val="center"/>
          </w:tcPr>
          <w:p w14:paraId="7B7866EA">
            <w:pPr>
              <w:widowControl/>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.未按照厂家和批次不同，分开存放在指定位置，导致混听；</w:t>
            </w:r>
          </w:p>
        </w:tc>
        <w:tc>
          <w:tcPr>
            <w:tcW w:w="1136" w:type="pct"/>
            <w:tcBorders>
              <w:top w:val="single" w:color="auto" w:sz="4" w:space="0"/>
              <w:bottom w:val="single" w:color="auto" w:sz="4" w:space="0"/>
              <w:tl2br w:val="nil"/>
              <w:tr2bl w:val="nil"/>
            </w:tcBorders>
            <w:vAlign w:val="center"/>
          </w:tcPr>
          <w:p w14:paraId="66DD7A65">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.铁听应按照厂家、品项、批次不同分开存放在指定位置，同区域不得存放两个品项铁听；</w:t>
            </w:r>
          </w:p>
        </w:tc>
        <w:tc>
          <w:tcPr>
            <w:tcW w:w="386" w:type="pct"/>
            <w:vMerge w:val="continue"/>
            <w:tcBorders>
              <w:tl2br w:val="nil"/>
              <w:tr2bl w:val="nil"/>
            </w:tcBorders>
            <w:vAlign w:val="center"/>
          </w:tcPr>
          <w:p w14:paraId="684B36E8">
            <w:pPr>
              <w:widowControl/>
              <w:jc w:val="center"/>
              <w:textAlignment w:val="center"/>
              <w:rPr>
                <w:rFonts w:ascii="仿宋" w:hAnsi="仿宋" w:eastAsia="仿宋_GB2312" w:cs="仿宋_GB2312"/>
                <w:color w:val="000000"/>
                <w:kern w:val="0"/>
                <w:sz w:val="24"/>
                <w:lang w:bidi="ar"/>
              </w:rPr>
            </w:pPr>
          </w:p>
        </w:tc>
        <w:tc>
          <w:tcPr>
            <w:tcW w:w="466" w:type="pct"/>
            <w:vMerge w:val="continue"/>
            <w:tcBorders>
              <w:tl2br w:val="nil"/>
              <w:tr2bl w:val="nil"/>
            </w:tcBorders>
            <w:vAlign w:val="center"/>
          </w:tcPr>
          <w:p w14:paraId="4CA22328">
            <w:pPr>
              <w:widowControl/>
              <w:jc w:val="left"/>
              <w:textAlignment w:val="center"/>
              <w:rPr>
                <w:rFonts w:ascii="仿宋" w:hAnsi="仿宋" w:eastAsia="仿宋_GB2312" w:cs="仿宋_GB2312"/>
                <w:color w:val="000000"/>
                <w:kern w:val="0"/>
                <w:sz w:val="24"/>
                <w:lang w:bidi="ar"/>
              </w:rPr>
            </w:pPr>
          </w:p>
        </w:tc>
        <w:tc>
          <w:tcPr>
            <w:tcW w:w="347" w:type="pct"/>
            <w:vMerge w:val="continue"/>
            <w:tcBorders>
              <w:tl2br w:val="nil"/>
              <w:tr2bl w:val="nil"/>
            </w:tcBorders>
            <w:vAlign w:val="center"/>
          </w:tcPr>
          <w:p w14:paraId="10C9FBAC">
            <w:pPr>
              <w:jc w:val="left"/>
              <w:rPr>
                <w:rFonts w:ascii="仿宋" w:hAnsi="仿宋" w:eastAsia="仿宋" w:cs="仿宋_GB2312"/>
                <w:color w:val="000000"/>
                <w:sz w:val="24"/>
              </w:rPr>
            </w:pPr>
          </w:p>
        </w:tc>
      </w:tr>
      <w:tr w14:paraId="7C7A7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continue"/>
            <w:tcBorders>
              <w:tl2br w:val="nil"/>
              <w:tr2bl w:val="nil"/>
            </w:tcBorders>
            <w:vAlign w:val="center"/>
          </w:tcPr>
          <w:p w14:paraId="328F85B8">
            <w:pPr>
              <w:widowControl/>
              <w:jc w:val="center"/>
              <w:textAlignment w:val="center"/>
              <w:rPr>
                <w:rFonts w:ascii="仿宋" w:hAnsi="仿宋" w:eastAsia="仿宋_GB2312" w:cs="仿宋_GB2312"/>
                <w:color w:val="000000"/>
                <w:kern w:val="0"/>
                <w:sz w:val="24"/>
                <w:lang w:bidi="ar"/>
              </w:rPr>
            </w:pPr>
          </w:p>
        </w:tc>
        <w:tc>
          <w:tcPr>
            <w:tcW w:w="277" w:type="pct"/>
            <w:vMerge w:val="continue"/>
            <w:tcBorders>
              <w:tl2br w:val="nil"/>
              <w:tr2bl w:val="nil"/>
            </w:tcBorders>
            <w:vAlign w:val="center"/>
          </w:tcPr>
          <w:p w14:paraId="10DFDEC8">
            <w:pPr>
              <w:widowControl/>
              <w:jc w:val="center"/>
              <w:textAlignment w:val="center"/>
              <w:rPr>
                <w:rFonts w:ascii="Times New Roman" w:hAnsi="Times New Roman" w:eastAsia="仿宋_GB2312" w:cs="仿宋_GB2312"/>
                <w:color w:val="000000"/>
                <w:kern w:val="0"/>
                <w:sz w:val="24"/>
                <w:lang w:bidi="ar"/>
              </w:rPr>
            </w:pPr>
          </w:p>
        </w:tc>
        <w:tc>
          <w:tcPr>
            <w:tcW w:w="279" w:type="pct"/>
            <w:vMerge w:val="continue"/>
            <w:tcBorders>
              <w:tl2br w:val="nil"/>
              <w:tr2bl w:val="nil"/>
            </w:tcBorders>
            <w:vAlign w:val="center"/>
          </w:tcPr>
          <w:p w14:paraId="49F3EB9F">
            <w:pPr>
              <w:widowControl/>
              <w:jc w:val="center"/>
              <w:textAlignment w:val="center"/>
              <w:rPr>
                <w:rFonts w:ascii="仿宋" w:hAnsi="仿宋" w:eastAsia="仿宋_GB2312" w:cs="仿宋_GB2312"/>
                <w:color w:val="000000"/>
                <w:kern w:val="0"/>
                <w:sz w:val="24"/>
                <w:lang w:bidi="ar"/>
              </w:rPr>
            </w:pPr>
          </w:p>
        </w:tc>
        <w:tc>
          <w:tcPr>
            <w:tcW w:w="327" w:type="pct"/>
            <w:vMerge w:val="continue"/>
            <w:tcBorders>
              <w:tl2br w:val="nil"/>
              <w:tr2bl w:val="nil"/>
            </w:tcBorders>
            <w:vAlign w:val="center"/>
          </w:tcPr>
          <w:p w14:paraId="43B327B6">
            <w:pPr>
              <w:widowControl/>
              <w:jc w:val="center"/>
              <w:textAlignment w:val="center"/>
              <w:rPr>
                <w:rFonts w:ascii="仿宋" w:hAnsi="仿宋" w:eastAsia="仿宋_GB2312" w:cs="仿宋_GB2312"/>
                <w:color w:val="000000"/>
                <w:kern w:val="0"/>
                <w:sz w:val="24"/>
                <w:lang w:bidi="ar"/>
              </w:rPr>
            </w:pPr>
          </w:p>
        </w:tc>
        <w:tc>
          <w:tcPr>
            <w:tcW w:w="469" w:type="pct"/>
            <w:vMerge w:val="continue"/>
            <w:tcBorders>
              <w:tl2br w:val="nil"/>
              <w:tr2bl w:val="nil"/>
            </w:tcBorders>
            <w:vAlign w:val="center"/>
          </w:tcPr>
          <w:p w14:paraId="669C4E49">
            <w:pPr>
              <w:widowControl/>
              <w:textAlignment w:val="center"/>
              <w:rPr>
                <w:rFonts w:ascii="仿宋" w:hAnsi="仿宋" w:eastAsia="仿宋_GB2312" w:cs="仿宋_GB2312"/>
                <w:color w:val="000000"/>
                <w:kern w:val="0"/>
                <w:sz w:val="24"/>
                <w:lang w:bidi="ar"/>
              </w:rPr>
            </w:pPr>
          </w:p>
        </w:tc>
        <w:tc>
          <w:tcPr>
            <w:tcW w:w="1025" w:type="pct"/>
            <w:tcBorders>
              <w:top w:val="single" w:color="auto" w:sz="4" w:space="0"/>
              <w:tl2br w:val="nil"/>
              <w:tr2bl w:val="nil"/>
            </w:tcBorders>
            <w:vAlign w:val="center"/>
          </w:tcPr>
          <w:p w14:paraId="33F5B09F">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.紫外线杀菌设备失效；</w:t>
            </w: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.空听吹扫设备故障。</w:t>
            </w:r>
          </w:p>
        </w:tc>
        <w:tc>
          <w:tcPr>
            <w:tcW w:w="1136" w:type="pct"/>
            <w:tcBorders>
              <w:top w:val="single" w:color="auto" w:sz="4" w:space="0"/>
              <w:tl2br w:val="nil"/>
              <w:tr2bl w:val="nil"/>
            </w:tcBorders>
            <w:vAlign w:val="center"/>
          </w:tcPr>
          <w:p w14:paraId="5C3DBA77">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.确认紫外线杀菌设备状态和空听吹扫设备状态运行有效。</w:t>
            </w:r>
          </w:p>
        </w:tc>
        <w:tc>
          <w:tcPr>
            <w:tcW w:w="386" w:type="pct"/>
            <w:vMerge w:val="continue"/>
            <w:tcBorders>
              <w:tl2br w:val="nil"/>
              <w:tr2bl w:val="nil"/>
            </w:tcBorders>
            <w:vAlign w:val="center"/>
          </w:tcPr>
          <w:p w14:paraId="4389E176">
            <w:pPr>
              <w:widowControl/>
              <w:jc w:val="center"/>
              <w:textAlignment w:val="center"/>
              <w:rPr>
                <w:rFonts w:ascii="仿宋" w:hAnsi="仿宋" w:eastAsia="仿宋_GB2312" w:cs="仿宋_GB2312"/>
                <w:color w:val="000000"/>
                <w:kern w:val="0"/>
                <w:sz w:val="24"/>
                <w:lang w:bidi="ar"/>
              </w:rPr>
            </w:pPr>
          </w:p>
        </w:tc>
        <w:tc>
          <w:tcPr>
            <w:tcW w:w="466" w:type="pct"/>
            <w:vMerge w:val="continue"/>
            <w:tcBorders>
              <w:tl2br w:val="nil"/>
              <w:tr2bl w:val="nil"/>
            </w:tcBorders>
            <w:vAlign w:val="center"/>
          </w:tcPr>
          <w:p w14:paraId="47399F3B">
            <w:pPr>
              <w:widowControl/>
              <w:jc w:val="left"/>
              <w:textAlignment w:val="center"/>
              <w:rPr>
                <w:rFonts w:ascii="仿宋" w:hAnsi="仿宋" w:eastAsia="仿宋_GB2312" w:cs="仿宋_GB2312"/>
                <w:color w:val="000000"/>
                <w:kern w:val="0"/>
                <w:sz w:val="24"/>
                <w:lang w:bidi="ar"/>
              </w:rPr>
            </w:pPr>
          </w:p>
        </w:tc>
        <w:tc>
          <w:tcPr>
            <w:tcW w:w="347" w:type="pct"/>
            <w:vMerge w:val="continue"/>
            <w:tcBorders>
              <w:tl2br w:val="nil"/>
              <w:tr2bl w:val="nil"/>
            </w:tcBorders>
            <w:vAlign w:val="center"/>
          </w:tcPr>
          <w:p w14:paraId="7BA13951">
            <w:pPr>
              <w:jc w:val="left"/>
              <w:rPr>
                <w:rFonts w:ascii="仿宋" w:hAnsi="仿宋" w:eastAsia="仿宋" w:cs="仿宋_GB2312"/>
                <w:color w:val="000000"/>
                <w:sz w:val="24"/>
              </w:rPr>
            </w:pPr>
          </w:p>
        </w:tc>
      </w:tr>
      <w:tr w14:paraId="06870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72F362FF">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0373A5B8">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7EE30E20">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479147C9">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输送、灌装过程</w:t>
            </w:r>
          </w:p>
        </w:tc>
        <w:tc>
          <w:tcPr>
            <w:tcW w:w="469" w:type="pct"/>
            <w:tcBorders>
              <w:tl2br w:val="nil"/>
              <w:tr2bl w:val="nil"/>
            </w:tcBorders>
            <w:vAlign w:val="center"/>
          </w:tcPr>
          <w:p w14:paraId="5DBF67A8">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品项切换清场不彻底</w:t>
            </w:r>
          </w:p>
        </w:tc>
        <w:tc>
          <w:tcPr>
            <w:tcW w:w="1025" w:type="pct"/>
            <w:tcBorders>
              <w:tl2br w:val="nil"/>
              <w:tr2bl w:val="nil"/>
            </w:tcBorders>
            <w:vAlign w:val="center"/>
          </w:tcPr>
          <w:p w14:paraId="457E5804">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产品在不同品项切换中被污染。</w:t>
            </w:r>
          </w:p>
        </w:tc>
        <w:tc>
          <w:tcPr>
            <w:tcW w:w="1136" w:type="pct"/>
            <w:tcBorders>
              <w:tl2br w:val="nil"/>
              <w:tr2bl w:val="nil"/>
            </w:tcBorders>
            <w:vAlign w:val="center"/>
          </w:tcPr>
          <w:p w14:paraId="4368FCEF">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.进粉结束后执行清场程序，关闭金检仪开关使挡板置于剔除口，用橡胶锤手动敲击干混机</w:t>
            </w:r>
            <w:r>
              <w:rPr>
                <w:rFonts w:hint="eastAsia" w:ascii="Times New Roman" w:hAnsi="Times New Roman" w:eastAsia="仿宋_GB2312" w:cs="仿宋_GB2312"/>
                <w:color w:val="000000"/>
                <w:kern w:val="0"/>
                <w:sz w:val="24"/>
                <w:lang w:bidi="ar"/>
              </w:rPr>
              <w:t>5</w:t>
            </w:r>
            <w:r>
              <w:rPr>
                <w:rFonts w:hint="eastAsia" w:ascii="仿宋" w:hAnsi="仿宋" w:eastAsia="仿宋_GB2312" w:cs="仿宋_GB2312"/>
                <w:color w:val="000000"/>
                <w:kern w:val="0"/>
                <w:sz w:val="24"/>
                <w:lang w:bidi="ar"/>
              </w:rPr>
              <w:t>次，清理的残粉由金检仪排出直至无粉排出，排出粉报废处理；</w:t>
            </w:r>
          </w:p>
          <w:p w14:paraId="7608839F">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.每次切换粉种时，延长干混系统抽粉时间（抽粉压力＞</w:t>
            </w:r>
            <w:r>
              <w:rPr>
                <w:rFonts w:hint="eastAsia" w:ascii="Times New Roman" w:hAnsi="Times New Roman" w:eastAsia="仿宋_GB2312" w:cs="仿宋_GB2312"/>
                <w:color w:val="000000"/>
                <w:kern w:val="0"/>
                <w:sz w:val="24"/>
                <w:lang w:bidi="ar"/>
              </w:rPr>
              <w:t>80kPa</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30s</w:t>
            </w:r>
            <w:r>
              <w:rPr>
                <w:rFonts w:hint="eastAsia" w:ascii="仿宋" w:hAnsi="仿宋" w:eastAsia="仿宋_GB2312" w:cs="仿宋_GB2312"/>
                <w:color w:val="000000"/>
                <w:kern w:val="0"/>
                <w:sz w:val="24"/>
                <w:lang w:bidi="ar"/>
              </w:rPr>
              <w:t>），减少干混系统内的残粉。粉仓需配置气锤、流化器等设备，保证粉仓内无残粉；</w:t>
            </w:r>
          </w:p>
          <w:p w14:paraId="246C1895">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.不同品项间切换，中控人员用橡胶锤敲打包装机粉仓上方真空罐底部位置，避免存粉；正常生产过程中严禁敲打包装机粉仓、干混机、预混机等；</w:t>
            </w:r>
          </w:p>
          <w:p w14:paraId="7D1D2115">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.同品项不同厂家基粉切换时，尾粉敲击后排出报废处理；</w:t>
            </w:r>
          </w:p>
          <w:p w14:paraId="71EB96A7">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5</w:t>
            </w:r>
            <w:r>
              <w:rPr>
                <w:rFonts w:hint="eastAsia" w:ascii="仿宋" w:hAnsi="仿宋" w:eastAsia="仿宋_GB2312" w:cs="仿宋_GB2312"/>
                <w:color w:val="000000"/>
                <w:kern w:val="0"/>
                <w:sz w:val="24"/>
                <w:lang w:bidi="ar"/>
              </w:rPr>
              <w:t>.品项切换时，开启振锤敲打包装机粉仓下端管路，粉仓无残留，同时彻底清空料斗内残存粉，通过包装机排出。</w:t>
            </w:r>
          </w:p>
        </w:tc>
        <w:tc>
          <w:tcPr>
            <w:tcW w:w="386" w:type="pct"/>
            <w:tcBorders>
              <w:tl2br w:val="nil"/>
              <w:tr2bl w:val="nil"/>
            </w:tcBorders>
            <w:vAlign w:val="center"/>
          </w:tcPr>
          <w:p w14:paraId="7C6BAB56">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tcBorders>
              <w:tl2br w:val="nil"/>
              <w:tr2bl w:val="nil"/>
            </w:tcBorders>
            <w:vAlign w:val="center"/>
          </w:tcPr>
          <w:p w14:paraId="434D3AD7">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符合标准要求</w:t>
            </w:r>
          </w:p>
        </w:tc>
        <w:tc>
          <w:tcPr>
            <w:tcW w:w="347" w:type="pct"/>
            <w:tcBorders>
              <w:tl2br w:val="nil"/>
              <w:tr2bl w:val="nil"/>
            </w:tcBorders>
            <w:vAlign w:val="center"/>
          </w:tcPr>
          <w:p w14:paraId="0EE4B61C">
            <w:pPr>
              <w:jc w:val="left"/>
              <w:rPr>
                <w:rFonts w:ascii="仿宋" w:hAnsi="仿宋" w:eastAsia="仿宋" w:cs="仿宋_GB2312"/>
                <w:color w:val="000000"/>
                <w:sz w:val="24"/>
              </w:rPr>
            </w:pPr>
          </w:p>
        </w:tc>
      </w:tr>
      <w:tr w14:paraId="2D567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restart"/>
            <w:tcBorders>
              <w:tl2br w:val="nil"/>
              <w:tr2bl w:val="nil"/>
            </w:tcBorders>
            <w:vAlign w:val="center"/>
          </w:tcPr>
          <w:p w14:paraId="2DA69C9C">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vMerge w:val="restart"/>
            <w:tcBorders>
              <w:tl2br w:val="nil"/>
              <w:tr2bl w:val="nil"/>
            </w:tcBorders>
            <w:vAlign w:val="center"/>
          </w:tcPr>
          <w:p w14:paraId="17B07D9B">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vMerge w:val="restart"/>
            <w:tcBorders>
              <w:tl2br w:val="nil"/>
              <w:tr2bl w:val="nil"/>
            </w:tcBorders>
            <w:vAlign w:val="center"/>
          </w:tcPr>
          <w:p w14:paraId="2E4E666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vMerge w:val="restart"/>
            <w:tcBorders>
              <w:tl2br w:val="nil"/>
              <w:tr2bl w:val="nil"/>
            </w:tcBorders>
            <w:vAlign w:val="center"/>
          </w:tcPr>
          <w:p w14:paraId="71ED9EA0">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灌装过程</w:t>
            </w:r>
          </w:p>
        </w:tc>
        <w:tc>
          <w:tcPr>
            <w:tcW w:w="469" w:type="pct"/>
            <w:vMerge w:val="restart"/>
            <w:tcBorders>
              <w:right w:val="single" w:color="auto" w:sz="4" w:space="0"/>
              <w:tl2br w:val="nil"/>
              <w:tr2bl w:val="nil"/>
            </w:tcBorders>
            <w:vAlign w:val="center"/>
          </w:tcPr>
          <w:p w14:paraId="68F55840">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样品代表性和排产错误及采样带入致病性微生物风险</w:t>
            </w:r>
          </w:p>
        </w:tc>
        <w:tc>
          <w:tcPr>
            <w:tcW w:w="1025" w:type="pct"/>
            <w:tcBorders>
              <w:top w:val="single" w:color="auto" w:sz="4" w:space="0"/>
              <w:left w:val="single" w:color="auto" w:sz="4" w:space="0"/>
              <w:bottom w:val="single" w:color="auto" w:sz="4" w:space="0"/>
              <w:tl2br w:val="nil"/>
              <w:tr2bl w:val="nil"/>
            </w:tcBorders>
            <w:vAlign w:val="center"/>
          </w:tcPr>
          <w:p w14:paraId="71A2FF39">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.采样阀故障不能使用，安装方法错误；</w:t>
            </w:r>
          </w:p>
        </w:tc>
        <w:tc>
          <w:tcPr>
            <w:tcW w:w="1136" w:type="pct"/>
            <w:tcBorders>
              <w:bottom w:val="single" w:color="auto" w:sz="4" w:space="0"/>
              <w:tl2br w:val="nil"/>
              <w:tr2bl w:val="nil"/>
            </w:tcBorders>
            <w:vAlign w:val="center"/>
          </w:tcPr>
          <w:p w14:paraId="3CC13C8D">
            <w:pP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.自动采样阀硬件符合配置要求，检测肠杆菌科、致病菌的样品全部使用自动采样阀采取的综合样，采样阀必须在下粉前启动；</w:t>
            </w:r>
          </w:p>
        </w:tc>
        <w:tc>
          <w:tcPr>
            <w:tcW w:w="386" w:type="pct"/>
            <w:vMerge w:val="restart"/>
            <w:tcBorders>
              <w:tl2br w:val="nil"/>
              <w:tr2bl w:val="nil"/>
            </w:tcBorders>
            <w:vAlign w:val="center"/>
          </w:tcPr>
          <w:p w14:paraId="688DDAF7">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.每班</w:t>
            </w: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.每月</w:t>
            </w:r>
          </w:p>
        </w:tc>
        <w:tc>
          <w:tcPr>
            <w:tcW w:w="466" w:type="pct"/>
            <w:vMerge w:val="restart"/>
            <w:tcBorders>
              <w:tl2br w:val="nil"/>
              <w:tr2bl w:val="nil"/>
            </w:tcBorders>
            <w:vAlign w:val="center"/>
          </w:tcPr>
          <w:p w14:paraId="4A8285F3">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符合内控要求</w:t>
            </w:r>
          </w:p>
        </w:tc>
        <w:tc>
          <w:tcPr>
            <w:tcW w:w="347" w:type="pct"/>
            <w:vMerge w:val="restart"/>
            <w:tcBorders>
              <w:tl2br w:val="nil"/>
              <w:tr2bl w:val="nil"/>
            </w:tcBorders>
            <w:vAlign w:val="center"/>
          </w:tcPr>
          <w:p w14:paraId="57AD1710">
            <w:pPr>
              <w:jc w:val="left"/>
              <w:rPr>
                <w:rFonts w:ascii="仿宋" w:hAnsi="仿宋" w:eastAsia="仿宋" w:cs="仿宋_GB2312"/>
                <w:color w:val="000000"/>
                <w:sz w:val="24"/>
              </w:rPr>
            </w:pPr>
          </w:p>
        </w:tc>
      </w:tr>
      <w:tr w14:paraId="6A6A2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continue"/>
            <w:tcBorders>
              <w:tl2br w:val="nil"/>
              <w:tr2bl w:val="nil"/>
            </w:tcBorders>
            <w:vAlign w:val="center"/>
          </w:tcPr>
          <w:p w14:paraId="440322CF">
            <w:pPr>
              <w:widowControl/>
              <w:jc w:val="center"/>
              <w:textAlignment w:val="center"/>
              <w:rPr>
                <w:rFonts w:ascii="仿宋" w:hAnsi="仿宋" w:eastAsia="仿宋_GB2312" w:cs="仿宋_GB2312"/>
                <w:color w:val="000000"/>
                <w:kern w:val="0"/>
                <w:sz w:val="24"/>
                <w:lang w:bidi="ar"/>
              </w:rPr>
            </w:pPr>
          </w:p>
        </w:tc>
        <w:tc>
          <w:tcPr>
            <w:tcW w:w="277" w:type="pct"/>
            <w:vMerge w:val="continue"/>
            <w:tcBorders>
              <w:tl2br w:val="nil"/>
              <w:tr2bl w:val="nil"/>
            </w:tcBorders>
            <w:vAlign w:val="center"/>
          </w:tcPr>
          <w:p w14:paraId="06903D40">
            <w:pPr>
              <w:widowControl/>
              <w:jc w:val="center"/>
              <w:textAlignment w:val="center"/>
              <w:rPr>
                <w:rFonts w:ascii="Times New Roman" w:hAnsi="Times New Roman" w:eastAsia="仿宋_GB2312" w:cs="仿宋_GB2312"/>
                <w:color w:val="000000"/>
                <w:kern w:val="0"/>
                <w:sz w:val="24"/>
                <w:lang w:bidi="ar"/>
              </w:rPr>
            </w:pPr>
          </w:p>
        </w:tc>
        <w:tc>
          <w:tcPr>
            <w:tcW w:w="279" w:type="pct"/>
            <w:vMerge w:val="continue"/>
            <w:tcBorders>
              <w:tl2br w:val="nil"/>
              <w:tr2bl w:val="nil"/>
            </w:tcBorders>
            <w:vAlign w:val="center"/>
          </w:tcPr>
          <w:p w14:paraId="20052998">
            <w:pPr>
              <w:widowControl/>
              <w:jc w:val="center"/>
              <w:textAlignment w:val="center"/>
              <w:rPr>
                <w:rFonts w:ascii="仿宋" w:hAnsi="仿宋" w:eastAsia="仿宋_GB2312" w:cs="仿宋_GB2312"/>
                <w:color w:val="000000"/>
                <w:kern w:val="0"/>
                <w:sz w:val="24"/>
                <w:lang w:bidi="ar"/>
              </w:rPr>
            </w:pPr>
          </w:p>
        </w:tc>
        <w:tc>
          <w:tcPr>
            <w:tcW w:w="327" w:type="pct"/>
            <w:vMerge w:val="continue"/>
            <w:tcBorders>
              <w:tl2br w:val="nil"/>
              <w:tr2bl w:val="nil"/>
            </w:tcBorders>
            <w:vAlign w:val="center"/>
          </w:tcPr>
          <w:p w14:paraId="411DE594">
            <w:pPr>
              <w:widowControl/>
              <w:jc w:val="center"/>
              <w:textAlignment w:val="center"/>
              <w:rPr>
                <w:rFonts w:ascii="仿宋" w:hAnsi="仿宋" w:eastAsia="仿宋_GB2312" w:cs="仿宋_GB2312"/>
                <w:color w:val="000000"/>
                <w:kern w:val="0"/>
                <w:sz w:val="24"/>
                <w:lang w:bidi="ar"/>
              </w:rPr>
            </w:pPr>
          </w:p>
        </w:tc>
        <w:tc>
          <w:tcPr>
            <w:tcW w:w="469" w:type="pct"/>
            <w:vMerge w:val="continue"/>
            <w:tcBorders>
              <w:right w:val="single" w:color="auto" w:sz="4" w:space="0"/>
              <w:tl2br w:val="nil"/>
              <w:tr2bl w:val="nil"/>
            </w:tcBorders>
            <w:vAlign w:val="center"/>
          </w:tcPr>
          <w:p w14:paraId="021F43A7">
            <w:pPr>
              <w:widowControl/>
              <w:textAlignment w:val="center"/>
              <w:rPr>
                <w:rFonts w:ascii="仿宋" w:hAnsi="仿宋" w:eastAsia="仿宋_GB2312" w:cs="仿宋_GB2312"/>
                <w:color w:val="000000"/>
                <w:kern w:val="0"/>
                <w:sz w:val="24"/>
                <w:lang w:bidi="ar"/>
              </w:rPr>
            </w:pPr>
          </w:p>
        </w:tc>
        <w:tc>
          <w:tcPr>
            <w:tcW w:w="1025" w:type="pct"/>
            <w:tcBorders>
              <w:top w:val="single" w:color="auto" w:sz="4" w:space="0"/>
              <w:left w:val="single" w:color="auto" w:sz="4" w:space="0"/>
              <w:bottom w:val="single" w:color="auto" w:sz="4" w:space="0"/>
              <w:tl2br w:val="nil"/>
              <w:tr2bl w:val="nil"/>
            </w:tcBorders>
            <w:vAlign w:val="center"/>
          </w:tcPr>
          <w:p w14:paraId="21C98270">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.权限管理失效，无权限违规使用；</w:t>
            </w:r>
          </w:p>
        </w:tc>
        <w:tc>
          <w:tcPr>
            <w:tcW w:w="1136" w:type="pct"/>
            <w:tcBorders>
              <w:top w:val="single" w:color="auto" w:sz="4" w:space="0"/>
              <w:bottom w:val="single" w:color="auto" w:sz="4" w:space="0"/>
              <w:tl2br w:val="nil"/>
              <w:tr2bl w:val="nil"/>
            </w:tcBorders>
            <w:vAlign w:val="center"/>
          </w:tcPr>
          <w:p w14:paraId="6D6F10A6">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.排产系统设备需权限管理，禁止不同层级、人员权限互相使用；</w:t>
            </w:r>
          </w:p>
          <w:p w14:paraId="475E9827">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.每月按照试错流程对排产软件进行试错，测试人员至少包括生产设备质量主管和食品安全总监，形成排查报告；</w:t>
            </w:r>
          </w:p>
        </w:tc>
        <w:tc>
          <w:tcPr>
            <w:tcW w:w="386" w:type="pct"/>
            <w:vMerge w:val="continue"/>
            <w:tcBorders>
              <w:tl2br w:val="nil"/>
              <w:tr2bl w:val="nil"/>
            </w:tcBorders>
            <w:vAlign w:val="center"/>
          </w:tcPr>
          <w:p w14:paraId="6EDB1273">
            <w:pPr>
              <w:widowControl/>
              <w:jc w:val="center"/>
              <w:textAlignment w:val="center"/>
              <w:rPr>
                <w:rFonts w:ascii="Times New Roman" w:hAnsi="Times New Roman" w:eastAsia="仿宋_GB2312" w:cs="仿宋_GB2312"/>
                <w:color w:val="000000"/>
                <w:kern w:val="0"/>
                <w:sz w:val="24"/>
                <w:lang w:bidi="ar"/>
              </w:rPr>
            </w:pPr>
          </w:p>
        </w:tc>
        <w:tc>
          <w:tcPr>
            <w:tcW w:w="466" w:type="pct"/>
            <w:vMerge w:val="continue"/>
            <w:tcBorders>
              <w:tl2br w:val="nil"/>
              <w:tr2bl w:val="nil"/>
            </w:tcBorders>
            <w:vAlign w:val="center"/>
          </w:tcPr>
          <w:p w14:paraId="26F79074">
            <w:pPr>
              <w:widowControl/>
              <w:jc w:val="left"/>
              <w:textAlignment w:val="center"/>
              <w:rPr>
                <w:rFonts w:ascii="仿宋" w:hAnsi="仿宋" w:eastAsia="仿宋_GB2312" w:cs="仿宋_GB2312"/>
                <w:color w:val="000000"/>
                <w:kern w:val="0"/>
                <w:sz w:val="24"/>
                <w:lang w:bidi="ar"/>
              </w:rPr>
            </w:pPr>
          </w:p>
        </w:tc>
        <w:tc>
          <w:tcPr>
            <w:tcW w:w="347" w:type="pct"/>
            <w:vMerge w:val="continue"/>
            <w:tcBorders>
              <w:tl2br w:val="nil"/>
              <w:tr2bl w:val="nil"/>
            </w:tcBorders>
            <w:vAlign w:val="center"/>
          </w:tcPr>
          <w:p w14:paraId="03776F0B">
            <w:pPr>
              <w:jc w:val="left"/>
              <w:rPr>
                <w:rFonts w:ascii="仿宋" w:hAnsi="仿宋" w:eastAsia="仿宋" w:cs="仿宋_GB2312"/>
                <w:color w:val="000000"/>
                <w:sz w:val="24"/>
              </w:rPr>
            </w:pPr>
          </w:p>
        </w:tc>
      </w:tr>
      <w:tr w14:paraId="26F9F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continue"/>
            <w:tcBorders>
              <w:tl2br w:val="nil"/>
              <w:tr2bl w:val="nil"/>
            </w:tcBorders>
            <w:vAlign w:val="center"/>
          </w:tcPr>
          <w:p w14:paraId="61FC026C">
            <w:pPr>
              <w:widowControl/>
              <w:jc w:val="center"/>
              <w:textAlignment w:val="center"/>
              <w:rPr>
                <w:rFonts w:ascii="仿宋" w:hAnsi="仿宋" w:eastAsia="仿宋_GB2312" w:cs="仿宋_GB2312"/>
                <w:color w:val="000000"/>
                <w:kern w:val="0"/>
                <w:sz w:val="24"/>
                <w:lang w:bidi="ar"/>
              </w:rPr>
            </w:pPr>
          </w:p>
        </w:tc>
        <w:tc>
          <w:tcPr>
            <w:tcW w:w="277" w:type="pct"/>
            <w:vMerge w:val="continue"/>
            <w:tcBorders>
              <w:tl2br w:val="nil"/>
              <w:tr2bl w:val="nil"/>
            </w:tcBorders>
            <w:vAlign w:val="center"/>
          </w:tcPr>
          <w:p w14:paraId="0014C4CC">
            <w:pPr>
              <w:widowControl/>
              <w:jc w:val="center"/>
              <w:textAlignment w:val="center"/>
              <w:rPr>
                <w:rFonts w:ascii="Times New Roman" w:hAnsi="Times New Roman" w:eastAsia="仿宋_GB2312" w:cs="仿宋_GB2312"/>
                <w:color w:val="000000"/>
                <w:kern w:val="0"/>
                <w:sz w:val="24"/>
                <w:lang w:bidi="ar"/>
              </w:rPr>
            </w:pPr>
          </w:p>
        </w:tc>
        <w:tc>
          <w:tcPr>
            <w:tcW w:w="279" w:type="pct"/>
            <w:vMerge w:val="continue"/>
            <w:tcBorders>
              <w:tl2br w:val="nil"/>
              <w:tr2bl w:val="nil"/>
            </w:tcBorders>
            <w:vAlign w:val="center"/>
          </w:tcPr>
          <w:p w14:paraId="68D15473">
            <w:pPr>
              <w:widowControl/>
              <w:jc w:val="center"/>
              <w:textAlignment w:val="center"/>
              <w:rPr>
                <w:rFonts w:ascii="仿宋" w:hAnsi="仿宋" w:eastAsia="仿宋_GB2312" w:cs="仿宋_GB2312"/>
                <w:color w:val="000000"/>
                <w:kern w:val="0"/>
                <w:sz w:val="24"/>
                <w:lang w:bidi="ar"/>
              </w:rPr>
            </w:pPr>
          </w:p>
        </w:tc>
        <w:tc>
          <w:tcPr>
            <w:tcW w:w="327" w:type="pct"/>
            <w:vMerge w:val="continue"/>
            <w:tcBorders>
              <w:tl2br w:val="nil"/>
              <w:tr2bl w:val="nil"/>
            </w:tcBorders>
            <w:vAlign w:val="center"/>
          </w:tcPr>
          <w:p w14:paraId="20930B32">
            <w:pPr>
              <w:widowControl/>
              <w:jc w:val="center"/>
              <w:textAlignment w:val="center"/>
              <w:rPr>
                <w:rFonts w:ascii="仿宋" w:hAnsi="仿宋" w:eastAsia="仿宋_GB2312" w:cs="仿宋_GB2312"/>
                <w:color w:val="000000"/>
                <w:kern w:val="0"/>
                <w:sz w:val="24"/>
                <w:lang w:bidi="ar"/>
              </w:rPr>
            </w:pPr>
          </w:p>
        </w:tc>
        <w:tc>
          <w:tcPr>
            <w:tcW w:w="469" w:type="pct"/>
            <w:vMerge w:val="continue"/>
            <w:tcBorders>
              <w:right w:val="single" w:color="auto" w:sz="4" w:space="0"/>
              <w:tl2br w:val="nil"/>
              <w:tr2bl w:val="nil"/>
            </w:tcBorders>
            <w:vAlign w:val="center"/>
          </w:tcPr>
          <w:p w14:paraId="484F4D84">
            <w:pPr>
              <w:widowControl/>
              <w:textAlignment w:val="center"/>
              <w:rPr>
                <w:rFonts w:ascii="仿宋" w:hAnsi="仿宋" w:eastAsia="仿宋_GB2312" w:cs="仿宋_GB2312"/>
                <w:color w:val="000000"/>
                <w:kern w:val="0"/>
                <w:sz w:val="24"/>
                <w:lang w:bidi="ar"/>
              </w:rPr>
            </w:pPr>
          </w:p>
        </w:tc>
        <w:tc>
          <w:tcPr>
            <w:tcW w:w="1025" w:type="pct"/>
            <w:tcBorders>
              <w:top w:val="single" w:color="auto" w:sz="4" w:space="0"/>
              <w:left w:val="single" w:color="auto" w:sz="4" w:space="0"/>
              <w:tl2br w:val="nil"/>
              <w:tr2bl w:val="nil"/>
            </w:tcBorders>
            <w:vAlign w:val="center"/>
          </w:tcPr>
          <w:p w14:paraId="5D9E5F13">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.采样器的阀门清洁不彻底，未监控其卫生及微生物情况或监控不到位。</w:t>
            </w:r>
          </w:p>
        </w:tc>
        <w:tc>
          <w:tcPr>
            <w:tcW w:w="1136" w:type="pct"/>
            <w:tcBorders>
              <w:top w:val="single" w:color="auto" w:sz="4" w:space="0"/>
              <w:tl2br w:val="nil"/>
              <w:tr2bl w:val="nil"/>
            </w:tcBorders>
            <w:vAlign w:val="center"/>
          </w:tcPr>
          <w:p w14:paraId="1BF6563E">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.制定采样阀口微生物监控计划并实施。</w:t>
            </w:r>
          </w:p>
        </w:tc>
        <w:tc>
          <w:tcPr>
            <w:tcW w:w="386" w:type="pct"/>
            <w:vMerge w:val="continue"/>
            <w:tcBorders>
              <w:tl2br w:val="nil"/>
              <w:tr2bl w:val="nil"/>
            </w:tcBorders>
            <w:vAlign w:val="center"/>
          </w:tcPr>
          <w:p w14:paraId="40FD2F8E">
            <w:pPr>
              <w:widowControl/>
              <w:jc w:val="center"/>
              <w:textAlignment w:val="center"/>
              <w:rPr>
                <w:rFonts w:ascii="Times New Roman" w:hAnsi="Times New Roman" w:eastAsia="仿宋_GB2312" w:cs="仿宋_GB2312"/>
                <w:color w:val="000000"/>
                <w:kern w:val="0"/>
                <w:sz w:val="24"/>
                <w:lang w:bidi="ar"/>
              </w:rPr>
            </w:pPr>
          </w:p>
        </w:tc>
        <w:tc>
          <w:tcPr>
            <w:tcW w:w="466" w:type="pct"/>
            <w:vMerge w:val="continue"/>
            <w:tcBorders>
              <w:tl2br w:val="nil"/>
              <w:tr2bl w:val="nil"/>
            </w:tcBorders>
            <w:vAlign w:val="center"/>
          </w:tcPr>
          <w:p w14:paraId="71CD2D64">
            <w:pPr>
              <w:widowControl/>
              <w:jc w:val="left"/>
              <w:textAlignment w:val="center"/>
              <w:rPr>
                <w:rFonts w:ascii="仿宋" w:hAnsi="仿宋" w:eastAsia="仿宋_GB2312" w:cs="仿宋_GB2312"/>
                <w:color w:val="000000"/>
                <w:kern w:val="0"/>
                <w:sz w:val="24"/>
                <w:lang w:bidi="ar"/>
              </w:rPr>
            </w:pPr>
          </w:p>
        </w:tc>
        <w:tc>
          <w:tcPr>
            <w:tcW w:w="347" w:type="pct"/>
            <w:vMerge w:val="continue"/>
            <w:tcBorders>
              <w:tl2br w:val="nil"/>
              <w:tr2bl w:val="nil"/>
            </w:tcBorders>
            <w:vAlign w:val="center"/>
          </w:tcPr>
          <w:p w14:paraId="4A6818A9">
            <w:pPr>
              <w:jc w:val="left"/>
              <w:rPr>
                <w:rFonts w:ascii="仿宋" w:hAnsi="仿宋" w:eastAsia="仿宋" w:cs="仿宋_GB2312"/>
                <w:color w:val="000000"/>
                <w:sz w:val="24"/>
              </w:rPr>
            </w:pPr>
          </w:p>
        </w:tc>
      </w:tr>
      <w:tr w14:paraId="309AF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47FF38FA">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5F26040B">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6C5EECA5">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0B3FC30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灌装过程</w:t>
            </w:r>
          </w:p>
        </w:tc>
        <w:tc>
          <w:tcPr>
            <w:tcW w:w="469" w:type="pct"/>
            <w:tcBorders>
              <w:tl2br w:val="nil"/>
              <w:tr2bl w:val="nil"/>
            </w:tcBorders>
            <w:vAlign w:val="center"/>
          </w:tcPr>
          <w:p w14:paraId="2D58D70B">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金属检测过程中金检仪未能正常工作</w:t>
            </w:r>
          </w:p>
        </w:tc>
        <w:tc>
          <w:tcPr>
            <w:tcW w:w="1025" w:type="pct"/>
            <w:tcBorders>
              <w:tl2br w:val="nil"/>
              <w:tr2bl w:val="nil"/>
            </w:tcBorders>
            <w:vAlign w:val="center"/>
          </w:tcPr>
          <w:p w14:paraId="303A0DFA">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金属检测仪不能有效识别含金属异物的产品并剔除。</w:t>
            </w:r>
          </w:p>
        </w:tc>
        <w:tc>
          <w:tcPr>
            <w:tcW w:w="1136" w:type="pct"/>
            <w:tcBorders>
              <w:tl2br w:val="nil"/>
              <w:tr2bl w:val="nil"/>
            </w:tcBorders>
            <w:vAlign w:val="center"/>
          </w:tcPr>
          <w:p w14:paraId="47F54136">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.每班生产前确认金检仪正常运行，金检仪剔除校准模块需自动报警提示；</w:t>
            </w:r>
          </w:p>
          <w:p w14:paraId="242E12A9">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.金检仪每次洗塔时进行测试，测试球可被剔除；</w:t>
            </w:r>
          </w:p>
          <w:p w14:paraId="03A86F34">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.金检仪剔除报警在中控室操作界面显示，未解除报警时无法转序；</w:t>
            </w:r>
          </w:p>
          <w:p w14:paraId="34105E60">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.金检仪剔除金属异物时，停止生产并及时上报风险信息，组织相关人员进行现场原因分析调查，风险产品按照规定进行评估、合理处置、审批、报备。</w:t>
            </w:r>
          </w:p>
        </w:tc>
        <w:tc>
          <w:tcPr>
            <w:tcW w:w="386" w:type="pct"/>
            <w:tcBorders>
              <w:tl2br w:val="nil"/>
              <w:tr2bl w:val="nil"/>
            </w:tcBorders>
            <w:vAlign w:val="center"/>
          </w:tcPr>
          <w:p w14:paraId="1D1B1D9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tcBorders>
              <w:tl2br w:val="nil"/>
              <w:tr2bl w:val="nil"/>
            </w:tcBorders>
            <w:vAlign w:val="center"/>
          </w:tcPr>
          <w:p w14:paraId="5DEEFF5C">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符合标准要求</w:t>
            </w:r>
          </w:p>
        </w:tc>
        <w:tc>
          <w:tcPr>
            <w:tcW w:w="347" w:type="pct"/>
            <w:tcBorders>
              <w:tl2br w:val="nil"/>
              <w:tr2bl w:val="nil"/>
            </w:tcBorders>
            <w:vAlign w:val="center"/>
          </w:tcPr>
          <w:p w14:paraId="7E62DD32">
            <w:pPr>
              <w:jc w:val="left"/>
              <w:rPr>
                <w:rFonts w:ascii="仿宋" w:hAnsi="仿宋" w:eastAsia="仿宋" w:cs="仿宋_GB2312"/>
                <w:color w:val="000000"/>
                <w:sz w:val="24"/>
              </w:rPr>
            </w:pPr>
          </w:p>
        </w:tc>
      </w:tr>
      <w:tr w14:paraId="0D44D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3BD108B6">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5AFB5E92">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3D46AB04">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349FDC7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灌装过程</w:t>
            </w:r>
          </w:p>
        </w:tc>
        <w:tc>
          <w:tcPr>
            <w:tcW w:w="469" w:type="pct"/>
            <w:tcBorders>
              <w:tl2br w:val="nil"/>
              <w:tr2bl w:val="nil"/>
            </w:tcBorders>
            <w:vAlign w:val="center"/>
          </w:tcPr>
          <w:p w14:paraId="5BF7FD2E">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产品异物未能有效鉴别与排除</w:t>
            </w:r>
          </w:p>
        </w:tc>
        <w:tc>
          <w:tcPr>
            <w:tcW w:w="1025" w:type="pct"/>
            <w:tcBorders>
              <w:tl2br w:val="nil"/>
              <w:tr2bl w:val="nil"/>
            </w:tcBorders>
            <w:vAlign w:val="center"/>
          </w:tcPr>
          <w:p w14:paraId="5601E154">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不能有效鉴别异物并剔除。</w:t>
            </w:r>
          </w:p>
        </w:tc>
        <w:tc>
          <w:tcPr>
            <w:tcW w:w="1136" w:type="pct"/>
            <w:tcBorders>
              <w:tl2br w:val="nil"/>
              <w:tr2bl w:val="nil"/>
            </w:tcBorders>
            <w:vAlign w:val="center"/>
          </w:tcPr>
          <w:p w14:paraId="4B3583B1">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.灌装剔除位置需配置报警装置，设定剔除数量限值，达到限值生产线停止运行防止堆积；</w:t>
            </w:r>
          </w:p>
          <w:p w14:paraId="202D38CC">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.设置剔除器点检机制，当班人员进行检测验证；</w:t>
            </w:r>
          </w:p>
          <w:p w14:paraId="4B395C1D">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X</w:t>
            </w:r>
            <w:r>
              <w:rPr>
                <w:rFonts w:hint="eastAsia" w:ascii="仿宋" w:hAnsi="仿宋" w:eastAsia="仿宋_GB2312" w:cs="仿宋_GB2312"/>
                <w:color w:val="000000"/>
                <w:kern w:val="0"/>
                <w:sz w:val="24"/>
                <w:lang w:bidi="ar"/>
              </w:rPr>
              <w:t>光机停止工作，及时上报风险信息，组织相关人员进行现场原因分析调查，风险产品按照规定进行评估、审批、报备；</w:t>
            </w:r>
          </w:p>
          <w:p w14:paraId="36A4AADC">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.每次开机时，进行符合《婴幼儿配方乳粉生产许可审查细则》要求的</w:t>
            </w:r>
            <w:r>
              <w:rPr>
                <w:rFonts w:hint="eastAsia" w:ascii="Times New Roman" w:hAnsi="Times New Roman" w:eastAsia="仿宋_GB2312" w:cs="仿宋_GB2312"/>
                <w:color w:val="000000"/>
                <w:kern w:val="0"/>
                <w:sz w:val="24"/>
                <w:lang w:bidi="ar"/>
              </w:rPr>
              <w:t>X</w:t>
            </w:r>
            <w:r>
              <w:rPr>
                <w:rFonts w:hint="eastAsia" w:ascii="仿宋" w:hAnsi="仿宋" w:eastAsia="仿宋_GB2312" w:cs="仿宋_GB2312"/>
                <w:color w:val="000000"/>
                <w:kern w:val="0"/>
                <w:sz w:val="24"/>
                <w:lang w:bidi="ar"/>
              </w:rPr>
              <w:t>光机测试，根据当前生产品项规格选定测试标准样本，依次通过</w:t>
            </w:r>
            <w:r>
              <w:rPr>
                <w:rFonts w:hint="eastAsia" w:ascii="Times New Roman" w:hAnsi="Times New Roman" w:eastAsia="仿宋_GB2312" w:cs="仿宋_GB2312"/>
                <w:color w:val="000000"/>
                <w:kern w:val="0"/>
                <w:sz w:val="24"/>
                <w:lang w:bidi="ar"/>
              </w:rPr>
              <w:t>X</w:t>
            </w:r>
            <w:r>
              <w:rPr>
                <w:rFonts w:hint="eastAsia" w:ascii="仿宋" w:hAnsi="仿宋" w:eastAsia="仿宋_GB2312" w:cs="仿宋_GB2312"/>
                <w:color w:val="000000"/>
                <w:kern w:val="0"/>
                <w:sz w:val="24"/>
                <w:lang w:bidi="ar"/>
              </w:rPr>
              <w:t>光机，观察是否能被</w:t>
            </w:r>
            <w:r>
              <w:rPr>
                <w:rFonts w:hint="eastAsia" w:ascii="Times New Roman" w:hAnsi="Times New Roman" w:eastAsia="仿宋_GB2312" w:cs="仿宋_GB2312"/>
                <w:color w:val="000000"/>
                <w:kern w:val="0"/>
                <w:sz w:val="24"/>
                <w:lang w:bidi="ar"/>
              </w:rPr>
              <w:t>100</w:t>
            </w:r>
            <w:r>
              <w:rPr>
                <w:rFonts w:hint="eastAsia" w:ascii="仿宋" w:hAnsi="仿宋" w:eastAsia="仿宋_GB2312" w:cs="仿宋_GB2312"/>
                <w:color w:val="000000"/>
                <w:kern w:val="0"/>
                <w:sz w:val="24"/>
                <w:lang w:bidi="ar"/>
              </w:rPr>
              <w:t>%剔除；</w:t>
            </w:r>
          </w:p>
          <w:p w14:paraId="2AB4B9E8">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5</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X</w:t>
            </w:r>
            <w:r>
              <w:rPr>
                <w:rFonts w:hint="eastAsia" w:ascii="仿宋" w:hAnsi="仿宋" w:eastAsia="仿宋_GB2312" w:cs="仿宋_GB2312"/>
                <w:color w:val="000000"/>
                <w:kern w:val="0"/>
                <w:sz w:val="24"/>
                <w:lang w:bidi="ar"/>
              </w:rPr>
              <w:t>光机测试标准样本专人、编号管理，每日当班结束后复核数量；</w:t>
            </w:r>
          </w:p>
          <w:p w14:paraId="6E273AEC">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6</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X</w:t>
            </w:r>
            <w:r>
              <w:rPr>
                <w:rFonts w:hint="eastAsia" w:ascii="仿宋" w:hAnsi="仿宋" w:eastAsia="仿宋_GB2312" w:cs="仿宋_GB2312"/>
                <w:color w:val="000000"/>
                <w:kern w:val="0"/>
                <w:sz w:val="24"/>
                <w:lang w:bidi="ar"/>
              </w:rPr>
              <w:t>光机测试标准样本损坏变形，重新制作测试标准样本。</w:t>
            </w:r>
          </w:p>
        </w:tc>
        <w:tc>
          <w:tcPr>
            <w:tcW w:w="386" w:type="pct"/>
            <w:tcBorders>
              <w:tl2br w:val="nil"/>
              <w:tr2bl w:val="nil"/>
            </w:tcBorders>
            <w:vAlign w:val="center"/>
          </w:tcPr>
          <w:p w14:paraId="3FD0B86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每班</w:t>
            </w:r>
          </w:p>
        </w:tc>
        <w:tc>
          <w:tcPr>
            <w:tcW w:w="466" w:type="pct"/>
            <w:tcBorders>
              <w:tl2br w:val="nil"/>
              <w:tr2bl w:val="nil"/>
            </w:tcBorders>
            <w:vAlign w:val="center"/>
          </w:tcPr>
          <w:p w14:paraId="0C1BC12C">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符合内控要求</w:t>
            </w:r>
          </w:p>
        </w:tc>
        <w:tc>
          <w:tcPr>
            <w:tcW w:w="347" w:type="pct"/>
            <w:tcBorders>
              <w:tl2br w:val="nil"/>
              <w:tr2bl w:val="nil"/>
            </w:tcBorders>
            <w:vAlign w:val="center"/>
          </w:tcPr>
          <w:p w14:paraId="130A7852">
            <w:pPr>
              <w:jc w:val="left"/>
              <w:rPr>
                <w:rFonts w:ascii="仿宋" w:hAnsi="仿宋" w:eastAsia="仿宋" w:cs="仿宋_GB2312"/>
                <w:color w:val="000000"/>
                <w:sz w:val="24"/>
              </w:rPr>
            </w:pPr>
          </w:p>
        </w:tc>
      </w:tr>
      <w:tr w14:paraId="2DA62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1AFF0F24">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1CC075BF">
            <w:pPr>
              <w:widowControl/>
              <w:jc w:val="lef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443A8B32">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60CFC3BD">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产品检验</w:t>
            </w:r>
          </w:p>
        </w:tc>
        <w:tc>
          <w:tcPr>
            <w:tcW w:w="469" w:type="pct"/>
            <w:tcBorders>
              <w:tl2br w:val="nil"/>
              <w:tr2bl w:val="nil"/>
            </w:tcBorders>
            <w:vAlign w:val="center"/>
          </w:tcPr>
          <w:p w14:paraId="269D994B">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出厂检验制度落实</w:t>
            </w:r>
          </w:p>
        </w:tc>
        <w:tc>
          <w:tcPr>
            <w:tcW w:w="1025" w:type="pct"/>
            <w:tcBorders>
              <w:tl2br w:val="nil"/>
              <w:tr2bl w:val="nil"/>
            </w:tcBorders>
            <w:vAlign w:val="center"/>
          </w:tcPr>
          <w:p w14:paraId="1AF72B0D">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未能有效落实产品出厂批批检验制度。</w:t>
            </w:r>
          </w:p>
        </w:tc>
        <w:tc>
          <w:tcPr>
            <w:tcW w:w="1136" w:type="pct"/>
            <w:tcBorders>
              <w:tl2br w:val="nil"/>
              <w:tr2bl w:val="nil"/>
            </w:tcBorders>
            <w:vAlign w:val="center"/>
          </w:tcPr>
          <w:p w14:paraId="701F1540">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.按照标准及检验计划对产品进行批批检验；</w:t>
            </w:r>
          </w:p>
          <w:p w14:paraId="148E40E9">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.首件和理化样严格进行检验，如指标临近和超出产品的内控标准，应增加检测和产品质量评估频次，评估无风险后出厂放行；</w:t>
            </w:r>
          </w:p>
          <w:p w14:paraId="46DE3AA9">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.产品检验样品要有代表性，取样点设置合理，能反映出过程风险，样品量充足。</w:t>
            </w:r>
          </w:p>
        </w:tc>
        <w:tc>
          <w:tcPr>
            <w:tcW w:w="386" w:type="pct"/>
            <w:tcBorders>
              <w:tl2br w:val="nil"/>
              <w:tr2bl w:val="nil"/>
            </w:tcBorders>
            <w:vAlign w:val="center"/>
          </w:tcPr>
          <w:p w14:paraId="23DBED3F">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每批</w:t>
            </w:r>
          </w:p>
        </w:tc>
        <w:tc>
          <w:tcPr>
            <w:tcW w:w="466" w:type="pct"/>
            <w:tcBorders>
              <w:tl2br w:val="nil"/>
              <w:tr2bl w:val="nil"/>
            </w:tcBorders>
            <w:vAlign w:val="center"/>
          </w:tcPr>
          <w:p w14:paraId="6F952C0E">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符合内控要求</w:t>
            </w:r>
          </w:p>
        </w:tc>
        <w:tc>
          <w:tcPr>
            <w:tcW w:w="347" w:type="pct"/>
            <w:tcBorders>
              <w:tl2br w:val="nil"/>
              <w:tr2bl w:val="nil"/>
            </w:tcBorders>
            <w:vAlign w:val="center"/>
          </w:tcPr>
          <w:p w14:paraId="19976473">
            <w:pPr>
              <w:jc w:val="left"/>
              <w:rPr>
                <w:rFonts w:ascii="仿宋" w:hAnsi="仿宋" w:eastAsia="仿宋" w:cs="仿宋_GB2312"/>
                <w:color w:val="000000"/>
                <w:sz w:val="24"/>
              </w:rPr>
            </w:pPr>
          </w:p>
        </w:tc>
      </w:tr>
      <w:tr w14:paraId="17700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45F73F5B">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4E83A8A6">
            <w:pPr>
              <w:widowControl/>
              <w:jc w:val="lef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2494C511">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11E6A974">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产品检验</w:t>
            </w:r>
          </w:p>
        </w:tc>
        <w:tc>
          <w:tcPr>
            <w:tcW w:w="469" w:type="pct"/>
            <w:tcBorders>
              <w:tl2br w:val="nil"/>
              <w:tr2bl w:val="nil"/>
            </w:tcBorders>
            <w:vAlign w:val="center"/>
          </w:tcPr>
          <w:p w14:paraId="1437F233">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检测记录的保留</w:t>
            </w:r>
          </w:p>
        </w:tc>
        <w:tc>
          <w:tcPr>
            <w:tcW w:w="1025" w:type="pct"/>
            <w:tcBorders>
              <w:tl2br w:val="nil"/>
              <w:tr2bl w:val="nil"/>
            </w:tcBorders>
            <w:vAlign w:val="center"/>
          </w:tcPr>
          <w:p w14:paraId="5DD795DA">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记录不全面无法准确溯源。</w:t>
            </w:r>
          </w:p>
        </w:tc>
        <w:tc>
          <w:tcPr>
            <w:tcW w:w="1136" w:type="pct"/>
            <w:tcBorders>
              <w:tl2br w:val="nil"/>
              <w:tr2bl w:val="nil"/>
            </w:tcBorders>
            <w:vAlign w:val="center"/>
          </w:tcPr>
          <w:p w14:paraId="23DBF31B">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保留与检验相关的原始记录及报告并做好记录。</w:t>
            </w:r>
          </w:p>
        </w:tc>
        <w:tc>
          <w:tcPr>
            <w:tcW w:w="386" w:type="pct"/>
            <w:tcBorders>
              <w:tl2br w:val="nil"/>
              <w:tr2bl w:val="nil"/>
            </w:tcBorders>
            <w:vAlign w:val="center"/>
          </w:tcPr>
          <w:p w14:paraId="3189E006">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每次</w:t>
            </w:r>
          </w:p>
        </w:tc>
        <w:tc>
          <w:tcPr>
            <w:tcW w:w="466" w:type="pct"/>
            <w:tcBorders>
              <w:tl2br w:val="nil"/>
              <w:tr2bl w:val="nil"/>
            </w:tcBorders>
            <w:vAlign w:val="center"/>
          </w:tcPr>
          <w:p w14:paraId="2B2333EF">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保存时间为检验食品样品保质期满后</w:t>
            </w:r>
            <w:r>
              <w:rPr>
                <w:rFonts w:hint="eastAsia" w:ascii="Times New Roman" w:hAnsi="Times New Roman" w:eastAsia="仿宋_GB2312" w:cs="仿宋_GB2312"/>
                <w:color w:val="000000"/>
                <w:kern w:val="0"/>
                <w:sz w:val="24"/>
                <w:lang w:bidi="ar"/>
              </w:rPr>
              <w:t>6</w:t>
            </w:r>
            <w:r>
              <w:rPr>
                <w:rFonts w:hint="eastAsia" w:ascii="仿宋" w:hAnsi="仿宋" w:eastAsia="仿宋_GB2312" w:cs="仿宋_GB2312"/>
                <w:color w:val="000000"/>
                <w:kern w:val="0"/>
                <w:sz w:val="24"/>
                <w:lang w:bidi="ar"/>
              </w:rPr>
              <w:t>个月</w:t>
            </w:r>
          </w:p>
        </w:tc>
        <w:tc>
          <w:tcPr>
            <w:tcW w:w="347" w:type="pct"/>
            <w:tcBorders>
              <w:tl2br w:val="nil"/>
              <w:tr2bl w:val="nil"/>
            </w:tcBorders>
            <w:vAlign w:val="center"/>
          </w:tcPr>
          <w:p w14:paraId="231767A9">
            <w:pPr>
              <w:jc w:val="left"/>
              <w:rPr>
                <w:rFonts w:ascii="仿宋" w:hAnsi="仿宋" w:eastAsia="仿宋" w:cs="仿宋_GB2312"/>
                <w:color w:val="000000"/>
                <w:sz w:val="24"/>
              </w:rPr>
            </w:pPr>
          </w:p>
        </w:tc>
      </w:tr>
      <w:tr w14:paraId="59F00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restart"/>
            <w:tcBorders>
              <w:tl2br w:val="nil"/>
              <w:tr2bl w:val="nil"/>
            </w:tcBorders>
            <w:vAlign w:val="center"/>
          </w:tcPr>
          <w:p w14:paraId="6509901E">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vMerge w:val="restart"/>
            <w:tcBorders>
              <w:tl2br w:val="nil"/>
              <w:tr2bl w:val="nil"/>
            </w:tcBorders>
            <w:vAlign w:val="center"/>
          </w:tcPr>
          <w:p w14:paraId="1E677EEE">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vMerge w:val="restart"/>
            <w:tcBorders>
              <w:tl2br w:val="nil"/>
              <w:tr2bl w:val="nil"/>
            </w:tcBorders>
            <w:vAlign w:val="center"/>
          </w:tcPr>
          <w:p w14:paraId="5241AAE8">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vMerge w:val="restart"/>
            <w:tcBorders>
              <w:tl2br w:val="nil"/>
              <w:tr2bl w:val="nil"/>
            </w:tcBorders>
            <w:vAlign w:val="center"/>
          </w:tcPr>
          <w:p w14:paraId="3AB75CB0">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检验检测</w:t>
            </w:r>
          </w:p>
        </w:tc>
        <w:tc>
          <w:tcPr>
            <w:tcW w:w="469" w:type="pct"/>
            <w:vMerge w:val="restart"/>
            <w:tcBorders>
              <w:tl2br w:val="nil"/>
              <w:tr2bl w:val="nil"/>
            </w:tcBorders>
            <w:vAlign w:val="center"/>
          </w:tcPr>
          <w:p w14:paraId="7F3AF087">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检验能力</w:t>
            </w:r>
          </w:p>
        </w:tc>
        <w:tc>
          <w:tcPr>
            <w:tcW w:w="1025" w:type="pct"/>
            <w:vMerge w:val="restart"/>
            <w:tcBorders>
              <w:tl2br w:val="nil"/>
              <w:tr2bl w:val="nil"/>
            </w:tcBorders>
            <w:vAlign w:val="center"/>
          </w:tcPr>
          <w:p w14:paraId="233DB897">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检验能力不足或方法有误。</w:t>
            </w:r>
          </w:p>
        </w:tc>
        <w:tc>
          <w:tcPr>
            <w:tcW w:w="1136" w:type="pct"/>
            <w:tcBorders>
              <w:bottom w:val="single" w:color="auto" w:sz="4" w:space="0"/>
              <w:tl2br w:val="nil"/>
              <w:tr2bl w:val="nil"/>
            </w:tcBorders>
            <w:vAlign w:val="center"/>
          </w:tcPr>
          <w:p w14:paraId="3A2A67AB">
            <w:pPr>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.对婴幼儿配方乳粉全项目检验能力进行验证，验证方法有效；</w:t>
            </w:r>
          </w:p>
          <w:p w14:paraId="14C304EB">
            <w:pP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.使用非国标方法检验的项目与食品安全国家标准规定的检验方法进行比对或者验证；</w:t>
            </w:r>
          </w:p>
        </w:tc>
        <w:tc>
          <w:tcPr>
            <w:tcW w:w="386" w:type="pct"/>
            <w:tcBorders>
              <w:bottom w:val="single" w:color="auto" w:sz="4" w:space="0"/>
              <w:tl2br w:val="nil"/>
              <w:tr2bl w:val="nil"/>
            </w:tcBorders>
            <w:vAlign w:val="center"/>
          </w:tcPr>
          <w:p w14:paraId="2E344A6B">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：每年；</w:t>
            </w:r>
          </w:p>
        </w:tc>
        <w:tc>
          <w:tcPr>
            <w:tcW w:w="466" w:type="pct"/>
            <w:vMerge w:val="restart"/>
            <w:tcBorders>
              <w:tl2br w:val="nil"/>
              <w:tr2bl w:val="nil"/>
            </w:tcBorders>
            <w:vAlign w:val="center"/>
          </w:tcPr>
          <w:p w14:paraId="0AE949D4">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符合标准和内控要求</w:t>
            </w:r>
          </w:p>
        </w:tc>
        <w:tc>
          <w:tcPr>
            <w:tcW w:w="347" w:type="pct"/>
            <w:vMerge w:val="restart"/>
            <w:tcBorders>
              <w:tl2br w:val="nil"/>
              <w:tr2bl w:val="nil"/>
            </w:tcBorders>
            <w:vAlign w:val="center"/>
          </w:tcPr>
          <w:p w14:paraId="46F0239D">
            <w:pPr>
              <w:rPr>
                <w:rFonts w:ascii="仿宋" w:hAnsi="仿宋" w:eastAsia="仿宋" w:cs="仿宋_GB2312"/>
                <w:color w:val="000000"/>
                <w:sz w:val="24"/>
              </w:rPr>
            </w:pPr>
          </w:p>
        </w:tc>
      </w:tr>
      <w:tr w14:paraId="1BCA3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vMerge w:val="continue"/>
            <w:tcBorders>
              <w:tl2br w:val="nil"/>
              <w:tr2bl w:val="nil"/>
            </w:tcBorders>
            <w:vAlign w:val="center"/>
          </w:tcPr>
          <w:p w14:paraId="3E6E68D5">
            <w:pPr>
              <w:widowControl/>
              <w:jc w:val="center"/>
              <w:textAlignment w:val="center"/>
              <w:rPr>
                <w:rFonts w:ascii="仿宋" w:hAnsi="仿宋" w:eastAsia="仿宋_GB2312" w:cs="仿宋_GB2312"/>
                <w:color w:val="000000"/>
                <w:kern w:val="0"/>
                <w:sz w:val="24"/>
                <w:lang w:bidi="ar"/>
              </w:rPr>
            </w:pPr>
          </w:p>
        </w:tc>
        <w:tc>
          <w:tcPr>
            <w:tcW w:w="277" w:type="pct"/>
            <w:vMerge w:val="continue"/>
            <w:tcBorders>
              <w:tl2br w:val="nil"/>
              <w:tr2bl w:val="nil"/>
            </w:tcBorders>
            <w:vAlign w:val="center"/>
          </w:tcPr>
          <w:p w14:paraId="2634E803">
            <w:pPr>
              <w:widowControl/>
              <w:jc w:val="center"/>
              <w:textAlignment w:val="center"/>
              <w:rPr>
                <w:rFonts w:ascii="Times New Roman" w:hAnsi="Times New Roman" w:eastAsia="仿宋_GB2312" w:cs="仿宋_GB2312"/>
                <w:color w:val="000000"/>
                <w:kern w:val="0"/>
                <w:sz w:val="24"/>
                <w:lang w:bidi="ar"/>
              </w:rPr>
            </w:pPr>
          </w:p>
        </w:tc>
        <w:tc>
          <w:tcPr>
            <w:tcW w:w="279" w:type="pct"/>
            <w:vMerge w:val="continue"/>
            <w:tcBorders>
              <w:tl2br w:val="nil"/>
              <w:tr2bl w:val="nil"/>
            </w:tcBorders>
            <w:vAlign w:val="center"/>
          </w:tcPr>
          <w:p w14:paraId="6BF290C5">
            <w:pPr>
              <w:widowControl/>
              <w:jc w:val="left"/>
              <w:textAlignment w:val="center"/>
              <w:rPr>
                <w:rFonts w:ascii="仿宋" w:hAnsi="仿宋" w:eastAsia="仿宋_GB2312" w:cs="仿宋_GB2312"/>
                <w:color w:val="000000"/>
                <w:kern w:val="0"/>
                <w:sz w:val="24"/>
                <w:lang w:bidi="ar"/>
              </w:rPr>
            </w:pPr>
          </w:p>
        </w:tc>
        <w:tc>
          <w:tcPr>
            <w:tcW w:w="327" w:type="pct"/>
            <w:vMerge w:val="continue"/>
            <w:tcBorders>
              <w:tl2br w:val="nil"/>
              <w:tr2bl w:val="nil"/>
            </w:tcBorders>
            <w:vAlign w:val="center"/>
          </w:tcPr>
          <w:p w14:paraId="2D5C2E03">
            <w:pPr>
              <w:widowControl/>
              <w:jc w:val="center"/>
              <w:textAlignment w:val="center"/>
              <w:rPr>
                <w:rFonts w:ascii="仿宋" w:hAnsi="仿宋" w:eastAsia="仿宋_GB2312" w:cs="仿宋_GB2312"/>
                <w:color w:val="000000"/>
                <w:kern w:val="0"/>
                <w:sz w:val="24"/>
                <w:lang w:bidi="ar"/>
              </w:rPr>
            </w:pPr>
          </w:p>
        </w:tc>
        <w:tc>
          <w:tcPr>
            <w:tcW w:w="469" w:type="pct"/>
            <w:vMerge w:val="continue"/>
            <w:tcBorders>
              <w:tl2br w:val="nil"/>
              <w:tr2bl w:val="nil"/>
            </w:tcBorders>
            <w:vAlign w:val="center"/>
          </w:tcPr>
          <w:p w14:paraId="5D42A5E1">
            <w:pPr>
              <w:widowControl/>
              <w:jc w:val="center"/>
              <w:textAlignment w:val="center"/>
              <w:rPr>
                <w:rFonts w:ascii="仿宋" w:hAnsi="仿宋" w:eastAsia="仿宋_GB2312" w:cs="仿宋_GB2312"/>
                <w:color w:val="000000"/>
                <w:kern w:val="0"/>
                <w:sz w:val="24"/>
                <w:lang w:bidi="ar"/>
              </w:rPr>
            </w:pPr>
          </w:p>
        </w:tc>
        <w:tc>
          <w:tcPr>
            <w:tcW w:w="1025" w:type="pct"/>
            <w:vMerge w:val="continue"/>
            <w:tcBorders>
              <w:tl2br w:val="nil"/>
              <w:tr2bl w:val="nil"/>
            </w:tcBorders>
            <w:vAlign w:val="center"/>
          </w:tcPr>
          <w:p w14:paraId="5B330219">
            <w:pPr>
              <w:widowControl/>
              <w:textAlignment w:val="center"/>
              <w:rPr>
                <w:rFonts w:ascii="仿宋" w:hAnsi="仿宋" w:eastAsia="仿宋_GB2312" w:cs="仿宋_GB2312"/>
                <w:color w:val="000000"/>
                <w:kern w:val="0"/>
                <w:sz w:val="24"/>
                <w:lang w:bidi="ar"/>
              </w:rPr>
            </w:pPr>
          </w:p>
        </w:tc>
        <w:tc>
          <w:tcPr>
            <w:tcW w:w="1136" w:type="pct"/>
            <w:tcBorders>
              <w:top w:val="single" w:color="auto" w:sz="4" w:space="0"/>
              <w:tl2br w:val="nil"/>
              <w:tr2bl w:val="nil"/>
            </w:tcBorders>
            <w:vAlign w:val="center"/>
          </w:tcPr>
          <w:p w14:paraId="42BE13B6">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.定期进行标准查新，对更新的标准和新标准进行方法确认；</w:t>
            </w:r>
          </w:p>
          <w:p w14:paraId="5C905403">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.定期对检验人员进行培训考核。</w:t>
            </w:r>
          </w:p>
        </w:tc>
        <w:tc>
          <w:tcPr>
            <w:tcW w:w="386" w:type="pct"/>
            <w:tcBorders>
              <w:top w:val="single" w:color="auto" w:sz="4" w:space="0"/>
              <w:tl2br w:val="nil"/>
              <w:tr2bl w:val="nil"/>
            </w:tcBorders>
            <w:vAlign w:val="center"/>
          </w:tcPr>
          <w:p w14:paraId="7D20BA17">
            <w:pPr>
              <w:textAlignment w:val="center"/>
              <w:rPr>
                <w:rFonts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 w:hAnsi="仿宋" w:eastAsia="仿宋_GB2312" w:cs="仿宋_GB2312"/>
                <w:color w:val="000000"/>
                <w:kern w:val="0"/>
                <w:sz w:val="24"/>
                <w:lang w:bidi="ar"/>
              </w:rPr>
              <w:t>-</w:t>
            </w:r>
            <w:r>
              <w:rPr>
                <w:rFonts w:hint="eastAsia" w:ascii="Times New Roman" w:hAnsi="Times New Roman" w:eastAsia="仿宋_GB2312" w:cs="仿宋_GB2312"/>
                <w:color w:val="000000"/>
                <w:kern w:val="0"/>
                <w:sz w:val="24"/>
                <w:lang w:bidi="ar"/>
              </w:rPr>
              <w:t>4</w:t>
            </w:r>
            <w:r>
              <w:rPr>
                <w:rFonts w:hint="eastAsia" w:ascii="仿宋" w:hAnsi="仿宋" w:eastAsia="仿宋_GB2312" w:cs="仿宋_GB2312"/>
                <w:color w:val="000000"/>
                <w:kern w:val="0"/>
                <w:sz w:val="24"/>
                <w:lang w:bidi="ar"/>
              </w:rPr>
              <w:t>：定期</w:t>
            </w:r>
          </w:p>
        </w:tc>
        <w:tc>
          <w:tcPr>
            <w:tcW w:w="466" w:type="pct"/>
            <w:vMerge w:val="continue"/>
            <w:tcBorders>
              <w:tl2br w:val="nil"/>
              <w:tr2bl w:val="nil"/>
            </w:tcBorders>
            <w:vAlign w:val="center"/>
          </w:tcPr>
          <w:p w14:paraId="34D19516">
            <w:pPr>
              <w:widowControl/>
              <w:jc w:val="left"/>
              <w:textAlignment w:val="center"/>
              <w:rPr>
                <w:rFonts w:ascii="仿宋" w:hAnsi="仿宋" w:eastAsia="仿宋_GB2312" w:cs="仿宋_GB2312"/>
                <w:color w:val="000000"/>
                <w:kern w:val="0"/>
                <w:sz w:val="24"/>
                <w:lang w:bidi="ar"/>
              </w:rPr>
            </w:pPr>
          </w:p>
        </w:tc>
        <w:tc>
          <w:tcPr>
            <w:tcW w:w="347" w:type="pct"/>
            <w:vMerge w:val="continue"/>
            <w:tcBorders>
              <w:tl2br w:val="nil"/>
              <w:tr2bl w:val="nil"/>
            </w:tcBorders>
            <w:vAlign w:val="center"/>
          </w:tcPr>
          <w:p w14:paraId="3AE7680C">
            <w:pPr>
              <w:rPr>
                <w:rFonts w:ascii="仿宋" w:hAnsi="仿宋" w:eastAsia="仿宋" w:cs="仿宋_GB2312"/>
                <w:color w:val="000000"/>
                <w:sz w:val="24"/>
              </w:rPr>
            </w:pPr>
          </w:p>
        </w:tc>
      </w:tr>
      <w:tr w14:paraId="754D2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1E384E7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4E3AB037">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228BC872">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139575FD">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检验检测</w:t>
            </w:r>
          </w:p>
        </w:tc>
        <w:tc>
          <w:tcPr>
            <w:tcW w:w="469" w:type="pct"/>
            <w:tcBorders>
              <w:tl2br w:val="nil"/>
              <w:tr2bl w:val="nil"/>
            </w:tcBorders>
            <w:vAlign w:val="center"/>
          </w:tcPr>
          <w:p w14:paraId="77FD1E07">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设备设施</w:t>
            </w:r>
          </w:p>
        </w:tc>
        <w:tc>
          <w:tcPr>
            <w:tcW w:w="1025" w:type="pct"/>
            <w:tcBorders>
              <w:tl2br w:val="nil"/>
              <w:tr2bl w:val="nil"/>
            </w:tcBorders>
            <w:vAlign w:val="center"/>
          </w:tcPr>
          <w:p w14:paraId="70E6247D">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检验设备、设施不满足产品检验要求。</w:t>
            </w:r>
          </w:p>
        </w:tc>
        <w:tc>
          <w:tcPr>
            <w:tcW w:w="1136" w:type="pct"/>
            <w:tcBorders>
              <w:tl2br w:val="nil"/>
              <w:tr2bl w:val="nil"/>
            </w:tcBorders>
            <w:vAlign w:val="center"/>
          </w:tcPr>
          <w:p w14:paraId="01A14340">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.实验前对检验环境进行检查，确保环境满足相应检验要求；</w:t>
            </w:r>
          </w:p>
          <w:p w14:paraId="264EEE44">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.对照仪器设备清单核查需检定的仪器是否检定，参数是否满足检验要求。</w:t>
            </w:r>
          </w:p>
        </w:tc>
        <w:tc>
          <w:tcPr>
            <w:tcW w:w="386" w:type="pct"/>
            <w:tcBorders>
              <w:tl2br w:val="nil"/>
              <w:tr2bl w:val="nil"/>
            </w:tcBorders>
            <w:vAlign w:val="center"/>
          </w:tcPr>
          <w:p w14:paraId="71C4EA7C">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每次实验前/定期</w:t>
            </w:r>
          </w:p>
        </w:tc>
        <w:tc>
          <w:tcPr>
            <w:tcW w:w="466" w:type="pct"/>
            <w:tcBorders>
              <w:tl2br w:val="nil"/>
              <w:tr2bl w:val="nil"/>
            </w:tcBorders>
            <w:vAlign w:val="center"/>
          </w:tcPr>
          <w:p w14:paraId="39A02231">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符合标准要求</w:t>
            </w:r>
          </w:p>
        </w:tc>
        <w:tc>
          <w:tcPr>
            <w:tcW w:w="347" w:type="pct"/>
            <w:tcBorders>
              <w:tl2br w:val="nil"/>
              <w:tr2bl w:val="nil"/>
            </w:tcBorders>
            <w:vAlign w:val="center"/>
          </w:tcPr>
          <w:p w14:paraId="7930F1E3">
            <w:pPr>
              <w:rPr>
                <w:rFonts w:ascii="仿宋" w:hAnsi="仿宋" w:eastAsia="仿宋" w:cs="仿宋_GB2312"/>
                <w:color w:val="000000"/>
                <w:sz w:val="24"/>
              </w:rPr>
            </w:pPr>
          </w:p>
        </w:tc>
      </w:tr>
      <w:tr w14:paraId="5DB0D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2AB4E23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3302E480">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10D6E0EB">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4879CE82">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检验检测</w:t>
            </w:r>
          </w:p>
        </w:tc>
        <w:tc>
          <w:tcPr>
            <w:tcW w:w="469" w:type="pct"/>
            <w:tcBorders>
              <w:tl2br w:val="nil"/>
              <w:tr2bl w:val="nil"/>
            </w:tcBorders>
            <w:vAlign w:val="center"/>
          </w:tcPr>
          <w:p w14:paraId="7751A649">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检验用品</w:t>
            </w:r>
          </w:p>
        </w:tc>
        <w:tc>
          <w:tcPr>
            <w:tcW w:w="1025" w:type="pct"/>
            <w:tcBorders>
              <w:tl2br w:val="nil"/>
              <w:tr2bl w:val="nil"/>
            </w:tcBorders>
            <w:vAlign w:val="center"/>
          </w:tcPr>
          <w:p w14:paraId="75F2D503">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标准品、试剂、培养基不满足检验要求。</w:t>
            </w:r>
          </w:p>
        </w:tc>
        <w:tc>
          <w:tcPr>
            <w:tcW w:w="1136" w:type="pct"/>
            <w:tcBorders>
              <w:tl2br w:val="nil"/>
              <w:tr2bl w:val="nil"/>
            </w:tcBorders>
            <w:vAlign w:val="center"/>
          </w:tcPr>
          <w:p w14:paraId="340573F4">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对标准品、关键试剂、培养基进行技术验收或确认。</w:t>
            </w:r>
          </w:p>
        </w:tc>
        <w:tc>
          <w:tcPr>
            <w:tcW w:w="386" w:type="pct"/>
            <w:tcBorders>
              <w:tl2br w:val="nil"/>
              <w:tr2bl w:val="nil"/>
            </w:tcBorders>
            <w:vAlign w:val="center"/>
          </w:tcPr>
          <w:p w14:paraId="336C3C7C">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按批次</w:t>
            </w:r>
          </w:p>
        </w:tc>
        <w:tc>
          <w:tcPr>
            <w:tcW w:w="466" w:type="pct"/>
            <w:tcBorders>
              <w:tl2br w:val="nil"/>
              <w:tr2bl w:val="nil"/>
            </w:tcBorders>
            <w:vAlign w:val="center"/>
          </w:tcPr>
          <w:p w14:paraId="4719C45B">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符合标准要求</w:t>
            </w:r>
          </w:p>
        </w:tc>
        <w:tc>
          <w:tcPr>
            <w:tcW w:w="347" w:type="pct"/>
            <w:tcBorders>
              <w:tl2br w:val="nil"/>
              <w:tr2bl w:val="nil"/>
            </w:tcBorders>
            <w:vAlign w:val="center"/>
          </w:tcPr>
          <w:p w14:paraId="177B34F1">
            <w:pPr>
              <w:rPr>
                <w:rFonts w:ascii="仿宋" w:hAnsi="仿宋" w:eastAsia="仿宋" w:cs="仿宋_GB2312"/>
                <w:color w:val="000000"/>
                <w:sz w:val="24"/>
              </w:rPr>
            </w:pPr>
          </w:p>
        </w:tc>
      </w:tr>
      <w:tr w14:paraId="629E5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7B563689">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06DF6A2D">
            <w:pPr>
              <w:widowControl/>
              <w:jc w:val="lef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594C0967">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0D80E119">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产品贮运</w:t>
            </w:r>
          </w:p>
        </w:tc>
        <w:tc>
          <w:tcPr>
            <w:tcW w:w="469" w:type="pct"/>
            <w:tcBorders>
              <w:tl2br w:val="nil"/>
              <w:tr2bl w:val="nil"/>
            </w:tcBorders>
            <w:vAlign w:val="center"/>
          </w:tcPr>
          <w:p w14:paraId="21CC9F48">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不合格品处置</w:t>
            </w:r>
          </w:p>
        </w:tc>
        <w:tc>
          <w:tcPr>
            <w:tcW w:w="1025" w:type="pct"/>
            <w:tcBorders>
              <w:tl2br w:val="nil"/>
              <w:tr2bl w:val="nil"/>
            </w:tcBorders>
            <w:vAlign w:val="center"/>
          </w:tcPr>
          <w:p w14:paraId="7119418A">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不合格品管理制度不到位。</w:t>
            </w:r>
          </w:p>
        </w:tc>
        <w:tc>
          <w:tcPr>
            <w:tcW w:w="1136" w:type="pct"/>
            <w:tcBorders>
              <w:tl2br w:val="nil"/>
              <w:tr2bl w:val="nil"/>
            </w:tcBorders>
            <w:vAlign w:val="center"/>
          </w:tcPr>
          <w:p w14:paraId="5D114CA1">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.检查是否落实不合格品管理制度；</w:t>
            </w:r>
          </w:p>
          <w:p w14:paraId="2902BAEC">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.经验收不合格的食品原料和产品，应在指定区域与合格品分开放置并明显标识，按照退货或不合格品管理制度进行处置。</w:t>
            </w:r>
          </w:p>
        </w:tc>
        <w:tc>
          <w:tcPr>
            <w:tcW w:w="386" w:type="pct"/>
            <w:tcBorders>
              <w:tl2br w:val="nil"/>
              <w:tr2bl w:val="nil"/>
            </w:tcBorders>
            <w:vAlign w:val="center"/>
          </w:tcPr>
          <w:p w14:paraId="11E262D9">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每日</w:t>
            </w:r>
          </w:p>
        </w:tc>
        <w:tc>
          <w:tcPr>
            <w:tcW w:w="466" w:type="pct"/>
            <w:tcBorders>
              <w:tl2br w:val="nil"/>
              <w:tr2bl w:val="nil"/>
            </w:tcBorders>
            <w:vAlign w:val="center"/>
          </w:tcPr>
          <w:p w14:paraId="5C39F681">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 14881</w:t>
            </w:r>
            <w:r>
              <w:rPr>
                <w:rFonts w:hint="eastAsia" w:ascii="仿宋" w:hAnsi="仿宋" w:eastAsia="仿宋_GB2312" w:cs="仿宋_GB2312"/>
                <w:color w:val="000000"/>
                <w:kern w:val="0"/>
                <w:sz w:val="24"/>
                <w:lang w:bidi="ar"/>
              </w:rPr>
              <w:t>要求</w:t>
            </w:r>
          </w:p>
        </w:tc>
        <w:tc>
          <w:tcPr>
            <w:tcW w:w="347" w:type="pct"/>
            <w:tcBorders>
              <w:tl2br w:val="nil"/>
              <w:tr2bl w:val="nil"/>
            </w:tcBorders>
            <w:vAlign w:val="center"/>
          </w:tcPr>
          <w:p w14:paraId="77ED53BC">
            <w:pPr>
              <w:rPr>
                <w:rFonts w:ascii="仿宋" w:hAnsi="仿宋" w:eastAsia="仿宋" w:cs="仿宋_GB2312"/>
                <w:color w:val="000000"/>
                <w:sz w:val="24"/>
              </w:rPr>
            </w:pPr>
          </w:p>
        </w:tc>
      </w:tr>
      <w:tr w14:paraId="0E7B6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07D666FD">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5B628E95">
            <w:pPr>
              <w:widowControl/>
              <w:jc w:val="center"/>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457E16FC">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59D20523">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风险监测</w:t>
            </w:r>
          </w:p>
        </w:tc>
        <w:tc>
          <w:tcPr>
            <w:tcW w:w="469" w:type="pct"/>
            <w:tcBorders>
              <w:tl2br w:val="nil"/>
              <w:tr2bl w:val="nil"/>
            </w:tcBorders>
            <w:vAlign w:val="center"/>
          </w:tcPr>
          <w:p w14:paraId="550E7117">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风险监测</w:t>
            </w:r>
          </w:p>
        </w:tc>
        <w:tc>
          <w:tcPr>
            <w:tcW w:w="1025" w:type="pct"/>
            <w:tcBorders>
              <w:tl2br w:val="nil"/>
              <w:tr2bl w:val="nil"/>
            </w:tcBorders>
            <w:vAlign w:val="center"/>
          </w:tcPr>
          <w:p w14:paraId="35538EFF">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风险监测项目监测不到位。</w:t>
            </w:r>
          </w:p>
        </w:tc>
        <w:tc>
          <w:tcPr>
            <w:tcW w:w="1136" w:type="pct"/>
            <w:tcBorders>
              <w:tl2br w:val="nil"/>
              <w:tr2bl w:val="nil"/>
            </w:tcBorders>
            <w:vAlign w:val="center"/>
          </w:tcPr>
          <w:p w14:paraId="2E72459F">
            <w:pPr>
              <w:widowControl/>
              <w:textAlignment w:val="center"/>
              <w:rPr>
                <w:rFonts w:ascii="仿宋"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 w:hAnsi="仿宋" w:eastAsia="仿宋_GB2312" w:cs="仿宋_GB2312"/>
                <w:color w:val="000000"/>
                <w:kern w:val="0"/>
                <w:sz w:val="24"/>
                <w:lang w:bidi="ar"/>
              </w:rPr>
              <w:t>.对收集的风险进行分析；</w:t>
            </w:r>
          </w:p>
          <w:p w14:paraId="3F38C17E">
            <w:pPr>
              <w:widowControl/>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w:t>
            </w:r>
            <w:r>
              <w:rPr>
                <w:rFonts w:hint="eastAsia" w:ascii="仿宋" w:hAnsi="仿宋" w:eastAsia="仿宋_GB2312" w:cs="仿宋_GB2312"/>
                <w:color w:val="000000"/>
                <w:kern w:val="0"/>
                <w:sz w:val="24"/>
                <w:lang w:bidi="ar"/>
              </w:rPr>
              <w:t>.对确定的风险项目进行监测，对原辅料或环境等影响因素采取有针对性措施进行风险防控。</w:t>
            </w:r>
          </w:p>
        </w:tc>
        <w:tc>
          <w:tcPr>
            <w:tcW w:w="386" w:type="pct"/>
            <w:tcBorders>
              <w:tl2br w:val="nil"/>
              <w:tr2bl w:val="nil"/>
            </w:tcBorders>
            <w:vAlign w:val="center"/>
          </w:tcPr>
          <w:p w14:paraId="10F2B315">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定期</w:t>
            </w:r>
          </w:p>
        </w:tc>
        <w:tc>
          <w:tcPr>
            <w:tcW w:w="466" w:type="pct"/>
            <w:tcBorders>
              <w:tl2br w:val="nil"/>
              <w:tr2bl w:val="nil"/>
            </w:tcBorders>
            <w:vAlign w:val="center"/>
          </w:tcPr>
          <w:p w14:paraId="39C80513">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符合内控要求</w:t>
            </w:r>
          </w:p>
        </w:tc>
        <w:tc>
          <w:tcPr>
            <w:tcW w:w="347" w:type="pct"/>
            <w:tcBorders>
              <w:tl2br w:val="nil"/>
              <w:tr2bl w:val="nil"/>
            </w:tcBorders>
            <w:vAlign w:val="center"/>
          </w:tcPr>
          <w:p w14:paraId="0D2433FD">
            <w:pPr>
              <w:rPr>
                <w:rFonts w:ascii="仿宋" w:hAnsi="仿宋" w:eastAsia="仿宋" w:cs="仿宋_GB2312"/>
                <w:color w:val="000000"/>
                <w:sz w:val="24"/>
              </w:rPr>
            </w:pPr>
          </w:p>
        </w:tc>
      </w:tr>
      <w:tr w14:paraId="0C9AB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88" w:type="pct"/>
            <w:tcBorders>
              <w:tl2br w:val="nil"/>
              <w:tr2bl w:val="nil"/>
            </w:tcBorders>
            <w:vAlign w:val="center"/>
          </w:tcPr>
          <w:p w14:paraId="2AC0E032">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婴幼儿配方食品</w:t>
            </w:r>
          </w:p>
        </w:tc>
        <w:tc>
          <w:tcPr>
            <w:tcW w:w="277" w:type="pct"/>
            <w:tcBorders>
              <w:tl2br w:val="nil"/>
              <w:tr2bl w:val="nil"/>
            </w:tcBorders>
            <w:vAlign w:val="center"/>
          </w:tcPr>
          <w:p w14:paraId="1DB8E230">
            <w:pPr>
              <w:widowControl/>
              <w:jc w:val="left"/>
              <w:textAlignment w:val="center"/>
              <w:rPr>
                <w:rFonts w:ascii="仿宋" w:hAnsi="仿宋" w:eastAsia="仿宋" w:cs="仿宋_GB2312"/>
                <w:color w:val="000000"/>
                <w:sz w:val="24"/>
              </w:rPr>
            </w:pPr>
            <w:r>
              <w:rPr>
                <w:rFonts w:hint="eastAsia" w:ascii="Times New Roman" w:hAnsi="Times New Roman" w:eastAsia="仿宋_GB2312" w:cs="仿宋_GB2312"/>
                <w:color w:val="000000"/>
                <w:kern w:val="0"/>
                <w:sz w:val="24"/>
                <w:lang w:bidi="ar"/>
              </w:rPr>
              <w:t>2901</w:t>
            </w:r>
            <w:r>
              <w:rPr>
                <w:rFonts w:hint="eastAsia" w:ascii="仿宋" w:hAnsi="仿宋" w:eastAsia="仿宋_GB2312" w:cs="仿宋_GB2312"/>
                <w:color w:val="000000"/>
                <w:kern w:val="0"/>
                <w:sz w:val="24"/>
                <w:lang w:bidi="ar"/>
              </w:rPr>
              <w:t>婴幼儿配方乳粉</w:t>
            </w:r>
          </w:p>
        </w:tc>
        <w:tc>
          <w:tcPr>
            <w:tcW w:w="279" w:type="pct"/>
            <w:tcBorders>
              <w:tl2br w:val="nil"/>
              <w:tr2bl w:val="nil"/>
            </w:tcBorders>
            <w:vAlign w:val="center"/>
          </w:tcPr>
          <w:p w14:paraId="1B78AF3D">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过程风险</w:t>
            </w:r>
          </w:p>
        </w:tc>
        <w:tc>
          <w:tcPr>
            <w:tcW w:w="327" w:type="pct"/>
            <w:tcBorders>
              <w:tl2br w:val="nil"/>
              <w:tr2bl w:val="nil"/>
            </w:tcBorders>
            <w:vAlign w:val="center"/>
          </w:tcPr>
          <w:p w14:paraId="144B7F91">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产品留样</w:t>
            </w:r>
          </w:p>
        </w:tc>
        <w:tc>
          <w:tcPr>
            <w:tcW w:w="469" w:type="pct"/>
            <w:tcBorders>
              <w:tl2br w:val="nil"/>
              <w:tr2bl w:val="nil"/>
            </w:tcBorders>
            <w:vAlign w:val="center"/>
          </w:tcPr>
          <w:p w14:paraId="147A3327">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留样管理</w:t>
            </w:r>
          </w:p>
        </w:tc>
        <w:tc>
          <w:tcPr>
            <w:tcW w:w="1025" w:type="pct"/>
            <w:tcBorders>
              <w:tl2br w:val="nil"/>
              <w:tr2bl w:val="nil"/>
            </w:tcBorders>
            <w:vAlign w:val="center"/>
          </w:tcPr>
          <w:p w14:paraId="30B10878">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样品保质期内出现异常，不能进行有效溯源。</w:t>
            </w:r>
          </w:p>
        </w:tc>
        <w:tc>
          <w:tcPr>
            <w:tcW w:w="1136" w:type="pct"/>
            <w:tcBorders>
              <w:tl2br w:val="nil"/>
              <w:tr2bl w:val="nil"/>
            </w:tcBorders>
            <w:vAlign w:val="center"/>
          </w:tcPr>
          <w:p w14:paraId="55035477">
            <w:pPr>
              <w:widowControl/>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检查是否落实产品留样制度，及时保留样品。</w:t>
            </w:r>
          </w:p>
        </w:tc>
        <w:tc>
          <w:tcPr>
            <w:tcW w:w="386" w:type="pct"/>
            <w:tcBorders>
              <w:tl2br w:val="nil"/>
              <w:tr2bl w:val="nil"/>
            </w:tcBorders>
            <w:vAlign w:val="center"/>
          </w:tcPr>
          <w:p w14:paraId="77BBF218">
            <w:pPr>
              <w:widowControl/>
              <w:jc w:val="center"/>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每日</w:t>
            </w:r>
          </w:p>
        </w:tc>
        <w:tc>
          <w:tcPr>
            <w:tcW w:w="466" w:type="pct"/>
            <w:tcBorders>
              <w:tl2br w:val="nil"/>
              <w:tr2bl w:val="nil"/>
            </w:tcBorders>
            <w:vAlign w:val="center"/>
          </w:tcPr>
          <w:p w14:paraId="4F227D15">
            <w:pPr>
              <w:widowControl/>
              <w:jc w:val="left"/>
              <w:textAlignment w:val="center"/>
              <w:rPr>
                <w:rFonts w:ascii="仿宋" w:hAnsi="仿宋" w:eastAsia="仿宋" w:cs="仿宋_GB2312"/>
                <w:color w:val="000000"/>
                <w:sz w:val="24"/>
              </w:rPr>
            </w:pPr>
            <w:r>
              <w:rPr>
                <w:rFonts w:hint="eastAsia" w:ascii="仿宋" w:hAnsi="仿宋" w:eastAsia="仿宋_GB2312" w:cs="仿宋_GB2312"/>
                <w:color w:val="000000"/>
                <w:kern w:val="0"/>
                <w:sz w:val="24"/>
                <w:lang w:bidi="ar"/>
              </w:rPr>
              <w:t>按照留样制度执行</w:t>
            </w:r>
          </w:p>
        </w:tc>
        <w:tc>
          <w:tcPr>
            <w:tcW w:w="347" w:type="pct"/>
            <w:tcBorders>
              <w:tl2br w:val="nil"/>
              <w:tr2bl w:val="nil"/>
            </w:tcBorders>
            <w:vAlign w:val="center"/>
          </w:tcPr>
          <w:p w14:paraId="4AC81A3E">
            <w:pPr>
              <w:rPr>
                <w:rFonts w:ascii="仿宋" w:hAnsi="仿宋" w:eastAsia="仿宋" w:cs="仿宋_GB2312"/>
                <w:color w:val="000000"/>
                <w:sz w:val="24"/>
              </w:rPr>
            </w:pPr>
          </w:p>
        </w:tc>
      </w:tr>
      <w:tr w14:paraId="1D309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000" w:type="pct"/>
            <w:gridSpan w:val="10"/>
            <w:tcBorders>
              <w:tl2br w:val="nil"/>
              <w:tr2bl w:val="nil"/>
            </w:tcBorders>
            <w:vAlign w:val="center"/>
          </w:tcPr>
          <w:p w14:paraId="244D26B2">
            <w:pPr>
              <w:ind w:left="1416" w:hanging="1416" w:hangingChars="590"/>
              <w:rPr>
                <w:rFonts w:ascii="仿宋" w:hAnsi="仿宋" w:eastAsia="仿宋_GB2312" w:cs="仿宋_GB2312"/>
                <w:color w:val="000000"/>
                <w:sz w:val="24"/>
              </w:rPr>
            </w:pPr>
            <w:r>
              <w:rPr>
                <w:rFonts w:hint="eastAsia" w:ascii="仿宋" w:hAnsi="仿宋" w:eastAsia="仿宋_GB2312" w:cs="仿宋_GB2312"/>
                <w:color w:val="000000"/>
                <w:sz w:val="24"/>
              </w:rPr>
              <w:t xml:space="preserve">    说明：</w:t>
            </w:r>
            <w:r>
              <w:rPr>
                <w:rFonts w:hint="eastAsia" w:ascii="Times New Roman" w:hAnsi="Times New Roman" w:eastAsia="仿宋_GB2312" w:cs="仿宋_GB2312"/>
                <w:color w:val="000000"/>
                <w:sz w:val="24"/>
              </w:rPr>
              <w:t>1</w:t>
            </w:r>
            <w:r>
              <w:rPr>
                <w:rFonts w:hint="eastAsia" w:ascii="仿宋" w:hAnsi="仿宋" w:eastAsia="仿宋_GB2312" w:cs="仿宋_GB2312"/>
                <w:color w:val="000000"/>
                <w:sz w:val="24"/>
              </w:rPr>
              <w:t>.根据《婴幼儿配方乳粉生产许可审查细则（</w:t>
            </w:r>
            <w:r>
              <w:rPr>
                <w:rFonts w:hint="eastAsia" w:ascii="Times New Roman" w:hAnsi="Times New Roman" w:eastAsia="仿宋_GB2312" w:cs="仿宋_GB2312"/>
                <w:color w:val="000000"/>
                <w:sz w:val="24"/>
              </w:rPr>
              <w:t>2022</w:t>
            </w:r>
            <w:r>
              <w:rPr>
                <w:rFonts w:hint="eastAsia" w:ascii="仿宋" w:hAnsi="仿宋" w:eastAsia="仿宋_GB2312" w:cs="仿宋_GB2312"/>
                <w:color w:val="000000"/>
                <w:sz w:val="24"/>
              </w:rPr>
              <w:t>版）》规定，婴幼儿配方乳粉生产工艺分为：湿法工艺、干法工艺、干湿法复合工艺，清单内过程控制环节除标有湿法工艺适用于湿法工艺外，其他过程控制环节为通用。</w:t>
            </w:r>
          </w:p>
          <w:p w14:paraId="731E146C">
            <w:pPr>
              <w:widowControl/>
              <w:ind w:left="1416" w:hanging="1416" w:hangingChars="590"/>
              <w:textAlignment w:val="center"/>
              <w:rPr>
                <w:rFonts w:ascii="仿宋" w:hAnsi="仿宋" w:eastAsia="仿宋" w:cs="仿宋_GB2312"/>
                <w:color w:val="000000"/>
                <w:sz w:val="24"/>
              </w:rPr>
            </w:pPr>
            <w:r>
              <w:rPr>
                <w:rFonts w:hint="eastAsia" w:ascii="仿宋" w:hAnsi="仿宋" w:eastAsia="仿宋_GB2312" w:cs="仿宋_GB2312"/>
                <w:color w:val="000000"/>
                <w:sz w:val="24"/>
              </w:rPr>
              <w:t xml:space="preserve">          </w:t>
            </w:r>
            <w:r>
              <w:rPr>
                <w:rFonts w:hint="eastAsia" w:ascii="Times New Roman" w:hAnsi="Times New Roman" w:eastAsia="仿宋_GB2312" w:cs="仿宋_GB2312"/>
                <w:color w:val="000000"/>
                <w:sz w:val="24"/>
              </w:rPr>
              <w:t>2</w:t>
            </w:r>
            <w:r>
              <w:rPr>
                <w:rFonts w:hint="eastAsia" w:ascii="仿宋" w:hAnsi="仿宋" w:eastAsia="仿宋_GB2312" w:cs="仿宋_GB2312"/>
                <w:color w:val="000000"/>
                <w:sz w:val="24"/>
              </w:rPr>
              <w:t>.本清单供食品生产企业参考使用。企业可以参考本清单并结合实际开展食品安全风险分析，查找确认风险点、科学制定管控措施、合理确定管控频次并明确责任人员，建立符合本企业实际的《食品安全风险管控清单》。</w:t>
            </w:r>
          </w:p>
        </w:tc>
      </w:tr>
    </w:tbl>
    <w:p w14:paraId="44194FCF">
      <w:pPr>
        <w:ind w:firstLine="640" w:firstLineChars="200"/>
        <w:jc w:val="center"/>
        <w:outlineLvl w:val="0"/>
        <w:rPr>
          <w:rFonts w:ascii="仿宋" w:hAnsi="仿宋" w:eastAsia="仿宋_GB2312" w:cs="方正小标宋简体"/>
          <w:sz w:val="32"/>
          <w:szCs w:val="32"/>
        </w:rPr>
        <w:sectPr>
          <w:footerReference r:id="rId5" w:type="default"/>
          <w:pgSz w:w="16838" w:h="11906" w:orient="landscape"/>
          <w:pgMar w:top="1984" w:right="1474" w:bottom="1644" w:left="1474" w:header="851" w:footer="1191" w:gutter="0"/>
          <w:pgNumType w:fmt="decimal" w:start="1"/>
          <w:cols w:space="0" w:num="1"/>
          <w:docGrid w:type="lines" w:linePitch="312" w:charSpace="0"/>
        </w:sectPr>
      </w:pPr>
    </w:p>
    <w:p w14:paraId="462D8125">
      <w:pPr>
        <w:rPr>
          <w:rFonts w:ascii="仿宋" w:hAnsi="仿宋" w:eastAsia="仿宋_GB2312"/>
        </w:rPr>
        <w:sectPr>
          <w:type w:val="continuous"/>
          <w:pgSz w:w="16838" w:h="11906" w:orient="landscape"/>
          <w:pgMar w:top="1984" w:right="1474" w:bottom="1644" w:left="1474" w:header="851" w:footer="1191" w:gutter="0"/>
          <w:pgNumType w:fmt="decimal"/>
          <w:cols w:space="0" w:num="1"/>
          <w:docGrid w:type="lines" w:linePitch="312" w:charSpace="0"/>
        </w:sectPr>
      </w:pPr>
    </w:p>
    <w:p w14:paraId="299E9217">
      <w:pPr>
        <w:outlineLvl w:val="0"/>
        <w:rPr>
          <w:rFonts w:ascii="Times New Roman" w:hAnsi="Times New Roman" w:eastAsia="方正小标宋简体"/>
          <w:color w:val="000000" w:themeColor="text1"/>
          <w:sz w:val="32"/>
          <w:szCs w:val="32"/>
          <w14:textFill>
            <w14:solidFill>
              <w14:schemeClr w14:val="tx1"/>
            </w14:solidFill>
          </w14:textFill>
        </w:rPr>
      </w:pPr>
      <w:r>
        <w:rPr>
          <w:rFonts w:hint="eastAsia" w:ascii="Times New Roman" w:hAnsi="Times New Roman" w:eastAsia="方正小标宋简体"/>
          <w:color w:val="000000" w:themeColor="text1"/>
          <w:sz w:val="32"/>
          <w:szCs w:val="32"/>
          <w14:textFill>
            <w14:solidFill>
              <w14:schemeClr w14:val="tx1"/>
            </w14:solidFill>
          </w14:textFill>
        </w:rPr>
        <w:t>2-55：</w:t>
      </w:r>
    </w:p>
    <w:p w14:paraId="24A2587C">
      <w:pPr>
        <w:spacing w:line="594" w:lineRule="exact"/>
        <w:jc w:val="center"/>
        <w:outlineLvl w:val="0"/>
        <w:rPr>
          <w:rFonts w:hint="eastAsia" w:ascii="Times New Roman" w:hAnsi="Times New Roman" w:eastAsia="方正小标宋简体" w:cs="方正小标宋简体"/>
          <w:color w:val="000000" w:themeColor="text1"/>
          <w:sz w:val="44"/>
          <w:szCs w:val="44"/>
          <w14:textFill>
            <w14:solidFill>
              <w14:schemeClr w14:val="tx1"/>
            </w14:solidFill>
          </w14:textFill>
        </w:rPr>
      </w:pPr>
      <w:bookmarkStart w:id="1" w:name="_Toc1970845293"/>
      <w:r>
        <w:rPr>
          <w:rFonts w:hint="eastAsia" w:ascii="Times New Roman" w:hAnsi="Times New Roman" w:eastAsia="方正小标宋简体" w:cs="方正小标宋简体"/>
          <w:color w:val="000000" w:themeColor="text1"/>
          <w:sz w:val="44"/>
          <w:szCs w:val="44"/>
          <w14:textFill>
            <w14:solidFill>
              <w14:schemeClr w14:val="tx1"/>
            </w14:solidFill>
          </w14:textFill>
        </w:rPr>
        <w:t>食品安全风险管控清单（特殊医学用途配方食品生产）</w:t>
      </w:r>
      <w:bookmarkEnd w:id="1"/>
    </w:p>
    <w:p w14:paraId="39F2FBF7">
      <w:pPr>
        <w:overflowPunct w:val="0"/>
        <w:topLinePunct/>
        <w:spacing w:line="320" w:lineRule="exact"/>
        <w:textAlignment w:val="center"/>
        <w:rPr>
          <w:rFonts w:ascii="Times New Roman" w:hAnsi="Times New Roman" w:eastAsia="仿宋_GB2312"/>
          <w:color w:val="000000" w:themeColor="text1"/>
          <w:sz w:val="24"/>
          <w14:textFill>
            <w14:solidFill>
              <w14:schemeClr w14:val="tx1"/>
            </w14:solidFill>
          </w14:textFill>
        </w:rPr>
      </w:pP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662"/>
        <w:gridCol w:w="662"/>
        <w:gridCol w:w="901"/>
        <w:gridCol w:w="901"/>
        <w:gridCol w:w="3005"/>
        <w:gridCol w:w="3606"/>
        <w:gridCol w:w="1142"/>
        <w:gridCol w:w="1743"/>
        <w:gridCol w:w="721"/>
      </w:tblGrid>
      <w:tr w14:paraId="1FA4B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blHeader/>
          <w:jc w:val="center"/>
        </w:trPr>
        <w:tc>
          <w:tcPr>
            <w:tcW w:w="624" w:type="dxa"/>
            <w:tcMar>
              <w:top w:w="17" w:type="dxa"/>
              <w:left w:w="57" w:type="dxa"/>
              <w:bottom w:w="17" w:type="dxa"/>
              <w:right w:w="57" w:type="dxa"/>
            </w:tcMar>
            <w:vAlign w:val="center"/>
          </w:tcPr>
          <w:p w14:paraId="6346D9E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食品类别</w:t>
            </w:r>
          </w:p>
        </w:tc>
        <w:tc>
          <w:tcPr>
            <w:tcW w:w="624" w:type="dxa"/>
            <w:tcMar>
              <w:top w:w="17" w:type="dxa"/>
              <w:left w:w="57" w:type="dxa"/>
              <w:bottom w:w="17" w:type="dxa"/>
              <w:right w:w="57" w:type="dxa"/>
            </w:tcMar>
            <w:vAlign w:val="center"/>
          </w:tcPr>
          <w:p w14:paraId="3FBC3E69">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类别名称</w:t>
            </w:r>
          </w:p>
        </w:tc>
        <w:tc>
          <w:tcPr>
            <w:tcW w:w="624" w:type="dxa"/>
            <w:tcMar>
              <w:top w:w="17" w:type="dxa"/>
              <w:left w:w="57" w:type="dxa"/>
              <w:bottom w:w="17" w:type="dxa"/>
              <w:right w:w="57" w:type="dxa"/>
            </w:tcMar>
            <w:vAlign w:val="center"/>
          </w:tcPr>
          <w:p w14:paraId="15236D5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风险</w:t>
            </w:r>
          </w:p>
          <w:p w14:paraId="7F24D54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类型</w:t>
            </w:r>
          </w:p>
        </w:tc>
        <w:tc>
          <w:tcPr>
            <w:tcW w:w="850" w:type="dxa"/>
            <w:tcMar>
              <w:top w:w="17" w:type="dxa"/>
              <w:left w:w="57" w:type="dxa"/>
              <w:bottom w:w="17" w:type="dxa"/>
              <w:right w:w="57" w:type="dxa"/>
            </w:tcMar>
            <w:vAlign w:val="center"/>
          </w:tcPr>
          <w:p w14:paraId="61E3A1D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过程控制环节</w:t>
            </w:r>
          </w:p>
        </w:tc>
        <w:tc>
          <w:tcPr>
            <w:tcW w:w="850" w:type="dxa"/>
            <w:tcMar>
              <w:top w:w="17" w:type="dxa"/>
              <w:left w:w="57" w:type="dxa"/>
              <w:bottom w:w="17" w:type="dxa"/>
              <w:right w:w="57" w:type="dxa"/>
            </w:tcMar>
            <w:vAlign w:val="center"/>
          </w:tcPr>
          <w:p w14:paraId="164B73E9">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风险点</w:t>
            </w:r>
          </w:p>
        </w:tc>
        <w:tc>
          <w:tcPr>
            <w:tcW w:w="2835" w:type="dxa"/>
            <w:tcMar>
              <w:top w:w="17" w:type="dxa"/>
              <w:left w:w="57" w:type="dxa"/>
              <w:bottom w:w="17" w:type="dxa"/>
              <w:right w:w="57" w:type="dxa"/>
            </w:tcMar>
            <w:vAlign w:val="center"/>
          </w:tcPr>
          <w:p w14:paraId="7DDDB93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风险描述</w:t>
            </w:r>
          </w:p>
        </w:tc>
        <w:tc>
          <w:tcPr>
            <w:tcW w:w="3402" w:type="dxa"/>
            <w:tcMar>
              <w:top w:w="17" w:type="dxa"/>
              <w:left w:w="57" w:type="dxa"/>
              <w:bottom w:w="17" w:type="dxa"/>
              <w:right w:w="57" w:type="dxa"/>
            </w:tcMar>
            <w:vAlign w:val="center"/>
          </w:tcPr>
          <w:p w14:paraId="6F04D9E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管控措施</w:t>
            </w:r>
          </w:p>
        </w:tc>
        <w:tc>
          <w:tcPr>
            <w:tcW w:w="1077" w:type="dxa"/>
            <w:tcMar>
              <w:top w:w="17" w:type="dxa"/>
              <w:left w:w="57" w:type="dxa"/>
              <w:bottom w:w="17" w:type="dxa"/>
              <w:right w:w="57" w:type="dxa"/>
            </w:tcMar>
            <w:vAlign w:val="center"/>
          </w:tcPr>
          <w:p w14:paraId="1520411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管控频次</w:t>
            </w:r>
          </w:p>
        </w:tc>
        <w:tc>
          <w:tcPr>
            <w:tcW w:w="1644" w:type="dxa"/>
            <w:tcMar>
              <w:top w:w="17" w:type="dxa"/>
              <w:left w:w="57" w:type="dxa"/>
              <w:bottom w:w="17" w:type="dxa"/>
              <w:right w:w="57" w:type="dxa"/>
            </w:tcMar>
            <w:vAlign w:val="center"/>
          </w:tcPr>
          <w:p w14:paraId="4CBF1C9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管控目标</w:t>
            </w:r>
          </w:p>
        </w:tc>
        <w:tc>
          <w:tcPr>
            <w:tcW w:w="680" w:type="dxa"/>
            <w:tcMar>
              <w:top w:w="17" w:type="dxa"/>
              <w:left w:w="57" w:type="dxa"/>
              <w:bottom w:w="17" w:type="dxa"/>
              <w:right w:w="57" w:type="dxa"/>
            </w:tcMar>
            <w:vAlign w:val="center"/>
          </w:tcPr>
          <w:p w14:paraId="20B2B92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责任人</w:t>
            </w:r>
          </w:p>
        </w:tc>
      </w:tr>
      <w:tr w14:paraId="72BF0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624" w:type="dxa"/>
            <w:tcMar>
              <w:top w:w="17" w:type="dxa"/>
              <w:left w:w="57" w:type="dxa"/>
              <w:bottom w:w="17" w:type="dxa"/>
              <w:right w:w="57" w:type="dxa"/>
            </w:tcMar>
            <w:vAlign w:val="center"/>
          </w:tcPr>
          <w:p w14:paraId="02C934D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F087CC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1CE108EB">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850" w:type="dxa"/>
            <w:tcMar>
              <w:top w:w="17" w:type="dxa"/>
              <w:left w:w="57" w:type="dxa"/>
              <w:bottom w:w="17" w:type="dxa"/>
              <w:right w:w="57" w:type="dxa"/>
            </w:tcMar>
            <w:vAlign w:val="center"/>
          </w:tcPr>
          <w:p w14:paraId="2FA82E9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厂区</w:t>
            </w:r>
          </w:p>
          <w:p w14:paraId="26DC613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环境</w:t>
            </w:r>
          </w:p>
        </w:tc>
        <w:tc>
          <w:tcPr>
            <w:tcW w:w="850" w:type="dxa"/>
            <w:tcMar>
              <w:top w:w="17" w:type="dxa"/>
              <w:left w:w="57" w:type="dxa"/>
              <w:bottom w:w="17" w:type="dxa"/>
              <w:right w:w="57" w:type="dxa"/>
            </w:tcMar>
            <w:vAlign w:val="center"/>
          </w:tcPr>
          <w:p w14:paraId="5766142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有毒有害物污染</w:t>
            </w:r>
          </w:p>
        </w:tc>
        <w:tc>
          <w:tcPr>
            <w:tcW w:w="2835" w:type="dxa"/>
            <w:tcMar>
              <w:top w:w="17" w:type="dxa"/>
              <w:left w:w="57" w:type="dxa"/>
              <w:bottom w:w="17" w:type="dxa"/>
              <w:right w:w="57" w:type="dxa"/>
            </w:tcMar>
            <w:vAlign w:val="center"/>
          </w:tcPr>
          <w:p w14:paraId="5BB811A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厂区、厂区外围或厂房附近存在污染源，有虫害孳生或生产环境被污染的风险。</w:t>
            </w:r>
          </w:p>
        </w:tc>
        <w:tc>
          <w:tcPr>
            <w:tcW w:w="3402" w:type="dxa"/>
            <w:tcMar>
              <w:top w:w="17" w:type="dxa"/>
              <w:left w:w="57" w:type="dxa"/>
              <w:bottom w:w="17" w:type="dxa"/>
              <w:right w:w="57" w:type="dxa"/>
            </w:tcMar>
            <w:vAlign w:val="center"/>
          </w:tcPr>
          <w:p w14:paraId="49C49CE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1.定期维护植被，避免草长高、飞虫密度增加以及杂草结籽等吸引鸟类。</w:t>
            </w:r>
          </w:p>
          <w:p w14:paraId="576D172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2.正确处置废弃物，如</w:t>
            </w:r>
            <w:r>
              <w:rPr>
                <w:rFonts w:hint="eastAsia" w:ascii="Times New Roman" w:hAnsi="Times New Roman" w:eastAsia="仿宋_GB2312" w:cs="仿宋_GB2312"/>
                <w:color w:val="000000" w:themeColor="text1"/>
                <w:kern w:val="0"/>
                <w:sz w:val="24"/>
                <w:lang w:bidi="ar"/>
                <w14:textFill>
                  <w14:solidFill>
                    <w14:schemeClr w14:val="tx1"/>
                  </w14:solidFill>
                </w14:textFill>
              </w:rPr>
              <w:t>生产过程产生的废弃物及时运送至废弃物存放区域，该区域远离生产车间，存放废弃物的容器标识清晰，有效防护。</w:t>
            </w:r>
          </w:p>
          <w:p w14:paraId="5E7CA22E">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3.定期检查工厂内垃圾站，确认没有外溢或撒漏以及积水滞留等现象。</w:t>
            </w:r>
          </w:p>
        </w:tc>
        <w:tc>
          <w:tcPr>
            <w:tcW w:w="1077" w:type="dxa"/>
            <w:tcMar>
              <w:top w:w="17" w:type="dxa"/>
              <w:left w:w="57" w:type="dxa"/>
              <w:bottom w:w="17" w:type="dxa"/>
              <w:right w:w="57" w:type="dxa"/>
            </w:tcMar>
            <w:vAlign w:val="center"/>
          </w:tcPr>
          <w:p w14:paraId="3CFA1FF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每周</w:t>
            </w:r>
          </w:p>
        </w:tc>
        <w:tc>
          <w:tcPr>
            <w:tcW w:w="1644" w:type="dxa"/>
            <w:tcMar>
              <w:top w:w="17" w:type="dxa"/>
              <w:left w:w="57" w:type="dxa"/>
              <w:bottom w:w="17" w:type="dxa"/>
              <w:right w:w="57" w:type="dxa"/>
            </w:tcMar>
            <w:vAlign w:val="center"/>
          </w:tcPr>
          <w:p w14:paraId="25A4EAF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符合GB 29923、GB 14881厂区环境及内控要求</w:t>
            </w:r>
          </w:p>
        </w:tc>
        <w:tc>
          <w:tcPr>
            <w:tcW w:w="680" w:type="dxa"/>
            <w:tcMar>
              <w:top w:w="17" w:type="dxa"/>
              <w:left w:w="57" w:type="dxa"/>
              <w:bottom w:w="17" w:type="dxa"/>
              <w:right w:w="57" w:type="dxa"/>
            </w:tcMar>
            <w:vAlign w:val="center"/>
          </w:tcPr>
          <w:p w14:paraId="6A5F152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1B42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624" w:type="dxa"/>
            <w:tcMar>
              <w:top w:w="17" w:type="dxa"/>
              <w:left w:w="57" w:type="dxa"/>
              <w:bottom w:w="17" w:type="dxa"/>
              <w:right w:w="57" w:type="dxa"/>
            </w:tcMar>
            <w:vAlign w:val="center"/>
          </w:tcPr>
          <w:p w14:paraId="4CAB8D9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4714B1C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132D0EB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850" w:type="dxa"/>
            <w:tcMar>
              <w:top w:w="17" w:type="dxa"/>
              <w:left w:w="57" w:type="dxa"/>
              <w:bottom w:w="17" w:type="dxa"/>
              <w:right w:w="57" w:type="dxa"/>
            </w:tcMar>
            <w:vAlign w:val="center"/>
          </w:tcPr>
          <w:p w14:paraId="3A6DC06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厂区</w:t>
            </w:r>
          </w:p>
          <w:p w14:paraId="25CE71D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环境</w:t>
            </w:r>
          </w:p>
        </w:tc>
        <w:tc>
          <w:tcPr>
            <w:tcW w:w="850" w:type="dxa"/>
            <w:tcMar>
              <w:top w:w="17" w:type="dxa"/>
              <w:left w:w="57" w:type="dxa"/>
              <w:bottom w:w="17" w:type="dxa"/>
              <w:right w:w="57" w:type="dxa"/>
            </w:tcMar>
            <w:vAlign w:val="center"/>
          </w:tcPr>
          <w:p w14:paraId="10D15A5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虫鼠害防控</w:t>
            </w:r>
          </w:p>
        </w:tc>
        <w:tc>
          <w:tcPr>
            <w:tcW w:w="2835" w:type="dxa"/>
            <w:tcMar>
              <w:top w:w="17" w:type="dxa"/>
              <w:left w:w="57" w:type="dxa"/>
              <w:bottom w:w="17" w:type="dxa"/>
              <w:right w:w="57" w:type="dxa"/>
            </w:tcMar>
            <w:vAlign w:val="center"/>
          </w:tcPr>
          <w:p w14:paraId="3A9545D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1.虫鼠害从外部进入生产车间或库房。</w:t>
            </w:r>
          </w:p>
          <w:p w14:paraId="11DB309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2.未充分分析虫害来源，未能做好预防虫害的预防管理。</w:t>
            </w:r>
          </w:p>
        </w:tc>
        <w:tc>
          <w:tcPr>
            <w:tcW w:w="3402" w:type="dxa"/>
            <w:tcMar>
              <w:top w:w="17" w:type="dxa"/>
              <w:left w:w="57" w:type="dxa"/>
              <w:bottom w:w="17" w:type="dxa"/>
              <w:right w:w="57" w:type="dxa"/>
            </w:tcMar>
            <w:vAlign w:val="center"/>
          </w:tcPr>
          <w:p w14:paraId="36FC9BD5">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1.外部与生产区域相通的门加装风幕、门帘，窗户安装纱窗等防护措施，生产车间内地漏安装防虫、防鼠设施并做好维护。</w:t>
            </w:r>
          </w:p>
          <w:p w14:paraId="7D8FA64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2.降低车间内部吸引因素，如：可引起再污染的灭蝇灯（如电击式灭蝇灯）、未得到有效清洁的环境等。</w:t>
            </w:r>
          </w:p>
          <w:p w14:paraId="6D8D454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3.安装粘捕式灭蝇灯，定期更换粘纸并记录粘捕昆虫的数量和种类，分析其来源，实施预防管控措施。</w:t>
            </w:r>
          </w:p>
        </w:tc>
        <w:tc>
          <w:tcPr>
            <w:tcW w:w="1077" w:type="dxa"/>
            <w:tcMar>
              <w:top w:w="17" w:type="dxa"/>
              <w:left w:w="57" w:type="dxa"/>
              <w:bottom w:w="17" w:type="dxa"/>
              <w:right w:w="57" w:type="dxa"/>
            </w:tcMar>
            <w:vAlign w:val="center"/>
          </w:tcPr>
          <w:p w14:paraId="31F8AEF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每月</w:t>
            </w:r>
          </w:p>
        </w:tc>
        <w:tc>
          <w:tcPr>
            <w:tcW w:w="1644" w:type="dxa"/>
            <w:tcMar>
              <w:top w:w="17" w:type="dxa"/>
              <w:left w:w="57" w:type="dxa"/>
              <w:bottom w:w="17" w:type="dxa"/>
              <w:right w:w="57" w:type="dxa"/>
            </w:tcMar>
            <w:vAlign w:val="center"/>
          </w:tcPr>
          <w:p w14:paraId="2A8DC88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符合GB 29923、GB 14881和内控要求</w:t>
            </w:r>
          </w:p>
        </w:tc>
        <w:tc>
          <w:tcPr>
            <w:tcW w:w="680" w:type="dxa"/>
            <w:tcMar>
              <w:top w:w="17" w:type="dxa"/>
              <w:left w:w="57" w:type="dxa"/>
              <w:bottom w:w="17" w:type="dxa"/>
              <w:right w:w="57" w:type="dxa"/>
            </w:tcMar>
            <w:vAlign w:val="center"/>
          </w:tcPr>
          <w:p w14:paraId="53D10CD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830B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8" w:hRule="atLeast"/>
          <w:jc w:val="center"/>
        </w:trPr>
        <w:tc>
          <w:tcPr>
            <w:tcW w:w="624" w:type="dxa"/>
            <w:tcMar>
              <w:top w:w="17" w:type="dxa"/>
              <w:left w:w="57" w:type="dxa"/>
              <w:bottom w:w="17" w:type="dxa"/>
              <w:right w:w="57" w:type="dxa"/>
            </w:tcMar>
            <w:vAlign w:val="center"/>
          </w:tcPr>
          <w:p w14:paraId="1C5285B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2649A84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03C692E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850" w:type="dxa"/>
            <w:tcMar>
              <w:top w:w="17" w:type="dxa"/>
              <w:left w:w="57" w:type="dxa"/>
              <w:bottom w:w="17" w:type="dxa"/>
              <w:right w:w="57" w:type="dxa"/>
            </w:tcMar>
            <w:vAlign w:val="center"/>
          </w:tcPr>
          <w:p w14:paraId="3D84737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车间</w:t>
            </w:r>
          </w:p>
          <w:p w14:paraId="506B9C5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环境</w:t>
            </w:r>
          </w:p>
        </w:tc>
        <w:tc>
          <w:tcPr>
            <w:tcW w:w="850" w:type="dxa"/>
            <w:tcMar>
              <w:top w:w="17" w:type="dxa"/>
              <w:left w:w="57" w:type="dxa"/>
              <w:bottom w:w="17" w:type="dxa"/>
              <w:right w:w="57" w:type="dxa"/>
            </w:tcMar>
            <w:vAlign w:val="center"/>
          </w:tcPr>
          <w:p w14:paraId="4D9A300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车间基础设施不完善引发污染</w:t>
            </w:r>
          </w:p>
        </w:tc>
        <w:tc>
          <w:tcPr>
            <w:tcW w:w="2835" w:type="dxa"/>
            <w:tcMar>
              <w:top w:w="17" w:type="dxa"/>
              <w:left w:w="57" w:type="dxa"/>
              <w:bottom w:w="17" w:type="dxa"/>
              <w:right w:w="57" w:type="dxa"/>
            </w:tcMar>
            <w:vAlign w:val="center"/>
          </w:tcPr>
          <w:p w14:paraId="3F7FE2B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生产车间内部破损和不易清洁处，容易孳生微生物。</w:t>
            </w:r>
          </w:p>
        </w:tc>
        <w:tc>
          <w:tcPr>
            <w:tcW w:w="3402" w:type="dxa"/>
            <w:tcMar>
              <w:top w:w="17" w:type="dxa"/>
              <w:left w:w="57" w:type="dxa"/>
              <w:bottom w:w="17" w:type="dxa"/>
              <w:right w:w="57" w:type="dxa"/>
            </w:tcMar>
            <w:vAlign w:val="center"/>
          </w:tcPr>
          <w:p w14:paraId="3E5693A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1.建立车间基础设施管理制度，按照制度定期检查，对不符合要求的，及时维修、维护。</w:t>
            </w:r>
          </w:p>
          <w:p w14:paraId="19A836E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2.对破损处、缝隙、夹层的清洁消毒要彻底。</w:t>
            </w:r>
          </w:p>
          <w:p w14:paraId="1EF9A62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3.必要时对破损及不易清洁处进行环境微生物监测。</w:t>
            </w:r>
          </w:p>
        </w:tc>
        <w:tc>
          <w:tcPr>
            <w:tcW w:w="1077" w:type="dxa"/>
            <w:tcMar>
              <w:top w:w="17" w:type="dxa"/>
              <w:left w:w="57" w:type="dxa"/>
              <w:bottom w:w="17" w:type="dxa"/>
              <w:right w:w="57" w:type="dxa"/>
            </w:tcMar>
            <w:vAlign w:val="center"/>
          </w:tcPr>
          <w:p w14:paraId="5CCE899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每月</w:t>
            </w:r>
          </w:p>
        </w:tc>
        <w:tc>
          <w:tcPr>
            <w:tcW w:w="1644" w:type="dxa"/>
            <w:tcMar>
              <w:top w:w="17" w:type="dxa"/>
              <w:left w:w="57" w:type="dxa"/>
              <w:bottom w:w="17" w:type="dxa"/>
              <w:right w:w="57" w:type="dxa"/>
            </w:tcMar>
            <w:vAlign w:val="center"/>
          </w:tcPr>
          <w:p w14:paraId="09C1DBE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符合GB 29923、GB 14881和内控要求</w:t>
            </w:r>
          </w:p>
        </w:tc>
        <w:tc>
          <w:tcPr>
            <w:tcW w:w="680" w:type="dxa"/>
            <w:tcMar>
              <w:top w:w="17" w:type="dxa"/>
              <w:left w:w="57" w:type="dxa"/>
              <w:bottom w:w="17" w:type="dxa"/>
              <w:right w:w="57" w:type="dxa"/>
            </w:tcMar>
            <w:vAlign w:val="center"/>
          </w:tcPr>
          <w:p w14:paraId="68C91E4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0290C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5" w:hRule="atLeast"/>
          <w:jc w:val="center"/>
        </w:trPr>
        <w:tc>
          <w:tcPr>
            <w:tcW w:w="624" w:type="dxa"/>
            <w:tcMar>
              <w:top w:w="17" w:type="dxa"/>
              <w:left w:w="57" w:type="dxa"/>
              <w:bottom w:w="17" w:type="dxa"/>
              <w:right w:w="57" w:type="dxa"/>
            </w:tcMar>
            <w:vAlign w:val="center"/>
          </w:tcPr>
          <w:p w14:paraId="4A9114D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5DA3838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244D0E3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850" w:type="dxa"/>
            <w:tcMar>
              <w:top w:w="17" w:type="dxa"/>
              <w:left w:w="57" w:type="dxa"/>
              <w:bottom w:w="17" w:type="dxa"/>
              <w:right w:w="57" w:type="dxa"/>
            </w:tcMar>
            <w:vAlign w:val="center"/>
          </w:tcPr>
          <w:p w14:paraId="00AD2855">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车间</w:t>
            </w:r>
          </w:p>
          <w:p w14:paraId="3737F69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环境</w:t>
            </w:r>
          </w:p>
        </w:tc>
        <w:tc>
          <w:tcPr>
            <w:tcW w:w="850" w:type="dxa"/>
            <w:tcMar>
              <w:top w:w="17" w:type="dxa"/>
              <w:left w:w="57" w:type="dxa"/>
              <w:bottom w:w="17" w:type="dxa"/>
              <w:right w:w="57" w:type="dxa"/>
            </w:tcMar>
            <w:vAlign w:val="center"/>
          </w:tcPr>
          <w:p w14:paraId="0D74892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人流、物流交叉污染</w:t>
            </w:r>
          </w:p>
        </w:tc>
        <w:tc>
          <w:tcPr>
            <w:tcW w:w="2835" w:type="dxa"/>
            <w:tcMar>
              <w:top w:w="17" w:type="dxa"/>
              <w:left w:w="57" w:type="dxa"/>
              <w:bottom w:w="17" w:type="dxa"/>
              <w:right w:w="57" w:type="dxa"/>
            </w:tcMar>
            <w:vAlign w:val="center"/>
          </w:tcPr>
          <w:p w14:paraId="03C4A28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1.洁净车间人流、物流通道缓冲区联锁装置失效。</w:t>
            </w:r>
          </w:p>
          <w:p w14:paraId="3B4DBEB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w:t>
            </w:r>
            <w:r>
              <w:rPr>
                <w:rFonts w:hint="eastAsia" w:ascii="Times New Roman" w:hAnsi="Times New Roman" w:eastAsia="仿宋_GB2312" w:cs="仿宋_GB2312"/>
                <w:color w:val="000000" w:themeColor="text1"/>
                <w:kern w:val="0"/>
                <w:sz w:val="24"/>
                <w:lang w:bidi="ar"/>
                <w14:textFill>
                  <w14:solidFill>
                    <w14:schemeClr w14:val="tx1"/>
                  </w14:solidFill>
                </w14:textFill>
              </w:rPr>
              <w:t>个人用品等与生产不相关物品和工作服混放</w:t>
            </w:r>
            <w:r>
              <w:rPr>
                <w:rFonts w:hint="eastAsia" w:ascii="Times New Roman" w:hAnsi="Times New Roman" w:eastAsia="仿宋_GB2312" w:cs="仿宋_GB2312"/>
                <w:color w:val="000000" w:themeColor="text1"/>
                <w:sz w:val="24"/>
                <w14:textFill>
                  <w14:solidFill>
                    <w14:schemeClr w14:val="tx1"/>
                  </w14:solidFill>
                </w14:textFill>
              </w:rPr>
              <w:t>。</w:t>
            </w:r>
          </w:p>
          <w:p w14:paraId="45DC4C6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3.人员洗手、干手、消毒设施不能正常使用。</w:t>
            </w:r>
          </w:p>
          <w:p w14:paraId="32ADCC0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4.物料缓冲和清洁设施不能正常使用。</w:t>
            </w:r>
          </w:p>
        </w:tc>
        <w:tc>
          <w:tcPr>
            <w:tcW w:w="3402" w:type="dxa"/>
            <w:tcMar>
              <w:top w:w="17" w:type="dxa"/>
              <w:left w:w="57" w:type="dxa"/>
              <w:bottom w:w="17" w:type="dxa"/>
              <w:right w:w="57" w:type="dxa"/>
            </w:tcMar>
            <w:vAlign w:val="center"/>
          </w:tcPr>
          <w:p w14:paraId="1F73770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1.人流、物流通道缓冲区安装联锁装置并有效运行。</w:t>
            </w:r>
          </w:p>
          <w:p w14:paraId="51070F1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w:t>
            </w:r>
            <w:r>
              <w:rPr>
                <w:rFonts w:hint="eastAsia" w:ascii="Times New Roman" w:hAnsi="Times New Roman" w:eastAsia="仿宋_GB2312" w:cs="仿宋_GB2312"/>
                <w:color w:val="000000" w:themeColor="text1"/>
                <w:kern w:val="0"/>
                <w:sz w:val="24"/>
                <w:lang w:bidi="ar"/>
                <w14:textFill>
                  <w14:solidFill>
                    <w14:schemeClr w14:val="tx1"/>
                  </w14:solidFill>
                </w14:textFill>
              </w:rPr>
              <w:t>在车间入口设置与员工数量匹配的更衣设施</w:t>
            </w:r>
            <w:r>
              <w:rPr>
                <w:rFonts w:hint="eastAsia" w:ascii="Times New Roman" w:hAnsi="Times New Roman" w:eastAsia="仿宋_GB2312" w:cs="仿宋_GB2312"/>
                <w:color w:val="000000" w:themeColor="text1"/>
                <w:sz w:val="24"/>
                <w14:textFill>
                  <w14:solidFill>
                    <w14:schemeClr w14:val="tx1"/>
                  </w14:solidFill>
                </w14:textFill>
              </w:rPr>
              <w:t>，工作服与个人服装及其他物品分开放置。</w:t>
            </w:r>
          </w:p>
          <w:p w14:paraId="7C473B4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3.洗手、干手、消毒设施能正常使用。</w:t>
            </w:r>
          </w:p>
          <w:p w14:paraId="0174B3C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4.物流通道的缓冲和清洁设施能正常使用，确认对物料消毒的紫外灯累计使用时间，并及时更换。</w:t>
            </w:r>
          </w:p>
        </w:tc>
        <w:tc>
          <w:tcPr>
            <w:tcW w:w="1077" w:type="dxa"/>
            <w:tcMar>
              <w:top w:w="17" w:type="dxa"/>
              <w:left w:w="57" w:type="dxa"/>
              <w:bottom w:w="17" w:type="dxa"/>
              <w:right w:w="57" w:type="dxa"/>
            </w:tcMar>
            <w:vAlign w:val="center"/>
          </w:tcPr>
          <w:p w14:paraId="78B408F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每周</w:t>
            </w:r>
          </w:p>
        </w:tc>
        <w:tc>
          <w:tcPr>
            <w:tcW w:w="1644" w:type="dxa"/>
            <w:tcMar>
              <w:top w:w="17" w:type="dxa"/>
              <w:left w:w="57" w:type="dxa"/>
              <w:bottom w:w="17" w:type="dxa"/>
              <w:right w:w="57" w:type="dxa"/>
            </w:tcMar>
            <w:vAlign w:val="center"/>
          </w:tcPr>
          <w:p w14:paraId="01AC92D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符合GB 29923、</w:t>
            </w:r>
          </w:p>
          <w:p w14:paraId="3E82D52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GB 14881和内控要求</w:t>
            </w:r>
          </w:p>
        </w:tc>
        <w:tc>
          <w:tcPr>
            <w:tcW w:w="680" w:type="dxa"/>
            <w:tcMar>
              <w:top w:w="17" w:type="dxa"/>
              <w:left w:w="57" w:type="dxa"/>
              <w:bottom w:w="17" w:type="dxa"/>
              <w:right w:w="57" w:type="dxa"/>
            </w:tcMar>
            <w:vAlign w:val="center"/>
          </w:tcPr>
          <w:p w14:paraId="331AD9C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166A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624" w:type="dxa"/>
            <w:tcMar>
              <w:top w:w="17" w:type="dxa"/>
              <w:left w:w="57" w:type="dxa"/>
              <w:bottom w:w="17" w:type="dxa"/>
              <w:right w:w="57" w:type="dxa"/>
            </w:tcMar>
            <w:vAlign w:val="center"/>
          </w:tcPr>
          <w:p w14:paraId="6014AF4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5D4C3FA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42D8D58B">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850" w:type="dxa"/>
            <w:tcMar>
              <w:top w:w="17" w:type="dxa"/>
              <w:left w:w="57" w:type="dxa"/>
              <w:bottom w:w="17" w:type="dxa"/>
              <w:right w:w="57" w:type="dxa"/>
            </w:tcMar>
            <w:vAlign w:val="center"/>
          </w:tcPr>
          <w:p w14:paraId="4E182A8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车间</w:t>
            </w:r>
          </w:p>
          <w:p w14:paraId="433344F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环境</w:t>
            </w:r>
          </w:p>
        </w:tc>
        <w:tc>
          <w:tcPr>
            <w:tcW w:w="850" w:type="dxa"/>
            <w:tcMar>
              <w:top w:w="17" w:type="dxa"/>
              <w:left w:w="57" w:type="dxa"/>
              <w:bottom w:w="17" w:type="dxa"/>
              <w:right w:w="57" w:type="dxa"/>
            </w:tcMar>
            <w:vAlign w:val="center"/>
          </w:tcPr>
          <w:p w14:paraId="3F09161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管道污染</w:t>
            </w:r>
          </w:p>
        </w:tc>
        <w:tc>
          <w:tcPr>
            <w:tcW w:w="2835" w:type="dxa"/>
            <w:tcMar>
              <w:top w:w="17" w:type="dxa"/>
              <w:left w:w="57" w:type="dxa"/>
              <w:bottom w:w="17" w:type="dxa"/>
              <w:right w:w="57" w:type="dxa"/>
            </w:tcMar>
            <w:vAlign w:val="center"/>
          </w:tcPr>
          <w:p w14:paraId="2D5A6AF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1.管道存在死角和盲管，不便于清洁，容易孳生微生物。</w:t>
            </w:r>
          </w:p>
          <w:p w14:paraId="38FB2EF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2.进入室内的管道与墙壁或天棚的连接部位未处于密封状态，导致污染。</w:t>
            </w:r>
          </w:p>
        </w:tc>
        <w:tc>
          <w:tcPr>
            <w:tcW w:w="3402" w:type="dxa"/>
            <w:tcMar>
              <w:top w:w="17" w:type="dxa"/>
              <w:left w:w="57" w:type="dxa"/>
              <w:bottom w:w="17" w:type="dxa"/>
              <w:right w:w="57" w:type="dxa"/>
            </w:tcMar>
            <w:vAlign w:val="center"/>
          </w:tcPr>
          <w:p w14:paraId="5938697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1.管道设计安装避免死角和盲管，确实无法避免的，应便于拆装清洁。</w:t>
            </w:r>
          </w:p>
          <w:p w14:paraId="70906EB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2.窗户、天棚、进入室内的管道与墙壁或天棚连接处要密封严密。</w:t>
            </w:r>
          </w:p>
        </w:tc>
        <w:tc>
          <w:tcPr>
            <w:tcW w:w="1077" w:type="dxa"/>
            <w:tcMar>
              <w:top w:w="17" w:type="dxa"/>
              <w:left w:w="57" w:type="dxa"/>
              <w:bottom w:w="17" w:type="dxa"/>
              <w:right w:w="57" w:type="dxa"/>
            </w:tcMar>
            <w:vAlign w:val="center"/>
          </w:tcPr>
          <w:p w14:paraId="489D166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每月</w:t>
            </w:r>
          </w:p>
        </w:tc>
        <w:tc>
          <w:tcPr>
            <w:tcW w:w="1644" w:type="dxa"/>
            <w:tcMar>
              <w:top w:w="17" w:type="dxa"/>
              <w:left w:w="57" w:type="dxa"/>
              <w:bottom w:w="17" w:type="dxa"/>
              <w:right w:w="57" w:type="dxa"/>
            </w:tcMar>
            <w:vAlign w:val="center"/>
          </w:tcPr>
          <w:p w14:paraId="3C591AE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137618F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D7E7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624" w:type="dxa"/>
            <w:tcMar>
              <w:top w:w="17" w:type="dxa"/>
              <w:left w:w="57" w:type="dxa"/>
              <w:bottom w:w="17" w:type="dxa"/>
              <w:right w:w="57" w:type="dxa"/>
            </w:tcMar>
            <w:vAlign w:val="center"/>
          </w:tcPr>
          <w:p w14:paraId="32B79FC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5CA88BF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38B86F6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基础风险</w:t>
            </w:r>
          </w:p>
        </w:tc>
        <w:tc>
          <w:tcPr>
            <w:tcW w:w="850" w:type="dxa"/>
            <w:tcMar>
              <w:top w:w="17" w:type="dxa"/>
              <w:left w:w="57" w:type="dxa"/>
              <w:bottom w:w="17" w:type="dxa"/>
              <w:right w:w="57" w:type="dxa"/>
            </w:tcMar>
            <w:vAlign w:val="center"/>
          </w:tcPr>
          <w:p w14:paraId="4F7D8AD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车间</w:t>
            </w:r>
          </w:p>
          <w:p w14:paraId="0535958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环境</w:t>
            </w:r>
          </w:p>
        </w:tc>
        <w:tc>
          <w:tcPr>
            <w:tcW w:w="850" w:type="dxa"/>
            <w:tcMar>
              <w:top w:w="17" w:type="dxa"/>
              <w:left w:w="57" w:type="dxa"/>
              <w:bottom w:w="17" w:type="dxa"/>
              <w:right w:w="57" w:type="dxa"/>
            </w:tcMar>
            <w:vAlign w:val="center"/>
          </w:tcPr>
          <w:p w14:paraId="6FF9530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不同洁净级别的分区交叉污染</w:t>
            </w:r>
          </w:p>
        </w:tc>
        <w:tc>
          <w:tcPr>
            <w:tcW w:w="2835" w:type="dxa"/>
            <w:tcMar>
              <w:top w:w="17" w:type="dxa"/>
              <w:left w:w="57" w:type="dxa"/>
              <w:bottom w:w="17" w:type="dxa"/>
              <w:right w:w="57" w:type="dxa"/>
            </w:tcMar>
            <w:vAlign w:val="center"/>
          </w:tcPr>
          <w:p w14:paraId="1340D4F4">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p>
          <w:p w14:paraId="228C803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准清洁作业区、清洁作业区设置存在缺陷，未有效分隔，导致微生物等污染。</w:t>
            </w:r>
          </w:p>
        </w:tc>
        <w:tc>
          <w:tcPr>
            <w:tcW w:w="3402" w:type="dxa"/>
            <w:tcMar>
              <w:top w:w="17" w:type="dxa"/>
              <w:left w:w="57" w:type="dxa"/>
              <w:bottom w:w="17" w:type="dxa"/>
              <w:right w:w="57" w:type="dxa"/>
            </w:tcMar>
            <w:vAlign w:val="center"/>
          </w:tcPr>
          <w:p w14:paraId="54F6AF5C">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1.按规定划分生产区域：清洁作业区、准清洁作业区、一般作业区。</w:t>
            </w:r>
          </w:p>
          <w:p w14:paraId="241D334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2.车间要封闭，洁净度不同的各级别生产区域之间要有效隔离。</w:t>
            </w:r>
          </w:p>
          <w:p w14:paraId="5D6F4B1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3.洁净度不同的各级别生产车间人和物进出的门区域要有缓冲。</w:t>
            </w:r>
          </w:p>
          <w:p w14:paraId="1FBCA98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4.进入到洁净度不同的各级别生产车间的人流和物流要有相应的消毒程序。</w:t>
            </w:r>
          </w:p>
          <w:p w14:paraId="5C142C9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5.准清洁作业区的环境卫生程度要有效监督。</w:t>
            </w:r>
          </w:p>
          <w:p w14:paraId="6EA0845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6.清洁作业区的人员、设备、环境的卫生状况要有效监督。</w:t>
            </w:r>
          </w:p>
        </w:tc>
        <w:tc>
          <w:tcPr>
            <w:tcW w:w="1077" w:type="dxa"/>
            <w:tcMar>
              <w:top w:w="17" w:type="dxa"/>
              <w:left w:w="57" w:type="dxa"/>
              <w:bottom w:w="17" w:type="dxa"/>
              <w:right w:w="57" w:type="dxa"/>
            </w:tcMar>
            <w:vAlign w:val="center"/>
          </w:tcPr>
          <w:p w14:paraId="3A0F01D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每周</w:t>
            </w:r>
          </w:p>
        </w:tc>
        <w:tc>
          <w:tcPr>
            <w:tcW w:w="1644" w:type="dxa"/>
            <w:tcMar>
              <w:top w:w="17" w:type="dxa"/>
              <w:left w:w="57" w:type="dxa"/>
              <w:bottom w:w="17" w:type="dxa"/>
              <w:right w:w="57" w:type="dxa"/>
            </w:tcMar>
            <w:vAlign w:val="center"/>
          </w:tcPr>
          <w:p w14:paraId="5E0183F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符合GB 29923和内控要求</w:t>
            </w:r>
          </w:p>
        </w:tc>
        <w:tc>
          <w:tcPr>
            <w:tcW w:w="680" w:type="dxa"/>
            <w:tcMar>
              <w:top w:w="17" w:type="dxa"/>
              <w:left w:w="57" w:type="dxa"/>
              <w:bottom w:w="17" w:type="dxa"/>
              <w:right w:w="57" w:type="dxa"/>
            </w:tcMar>
            <w:vAlign w:val="center"/>
          </w:tcPr>
          <w:p w14:paraId="390427C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78AA0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24" w:type="dxa"/>
            <w:tcMar>
              <w:top w:w="17" w:type="dxa"/>
              <w:left w:w="57" w:type="dxa"/>
              <w:bottom w:w="17" w:type="dxa"/>
              <w:right w:w="57" w:type="dxa"/>
            </w:tcMar>
            <w:vAlign w:val="center"/>
          </w:tcPr>
          <w:p w14:paraId="6224109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57E7567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7921ED7B">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基础风险</w:t>
            </w:r>
          </w:p>
        </w:tc>
        <w:tc>
          <w:tcPr>
            <w:tcW w:w="850" w:type="dxa"/>
            <w:tcMar>
              <w:top w:w="17" w:type="dxa"/>
              <w:left w:w="57" w:type="dxa"/>
              <w:bottom w:w="17" w:type="dxa"/>
              <w:right w:w="57" w:type="dxa"/>
            </w:tcMar>
            <w:vAlign w:val="center"/>
          </w:tcPr>
          <w:p w14:paraId="14406A4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生产用辅助物料带来的风险</w:t>
            </w:r>
          </w:p>
        </w:tc>
        <w:tc>
          <w:tcPr>
            <w:tcW w:w="850" w:type="dxa"/>
            <w:tcMar>
              <w:top w:w="17" w:type="dxa"/>
              <w:left w:w="57" w:type="dxa"/>
              <w:bottom w:w="17" w:type="dxa"/>
              <w:right w:w="57" w:type="dxa"/>
            </w:tcMar>
            <w:vAlign w:val="center"/>
          </w:tcPr>
          <w:p w14:paraId="646CC4E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生产用水不洁引起污染</w:t>
            </w:r>
          </w:p>
        </w:tc>
        <w:tc>
          <w:tcPr>
            <w:tcW w:w="2835" w:type="dxa"/>
            <w:tcMar>
              <w:top w:w="17" w:type="dxa"/>
              <w:left w:w="57" w:type="dxa"/>
              <w:bottom w:w="17" w:type="dxa"/>
              <w:right w:w="57" w:type="dxa"/>
            </w:tcMar>
            <w:vAlign w:val="center"/>
          </w:tcPr>
          <w:p w14:paraId="2DA5A8A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1.水处理设备无法正常运行、运行状态缺乏有效监控。</w:t>
            </w:r>
          </w:p>
          <w:p w14:paraId="663435B3">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2.未对纯化水制备系统进行定期清洗、灭菌，导致微生物的孳生和污染。</w:t>
            </w:r>
          </w:p>
          <w:p w14:paraId="7A45C4D2">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3.未对特殊医学用途配方食品生产用水进行定期检测或检测项目不完整，无生产用水检验报告。</w:t>
            </w:r>
          </w:p>
          <w:p w14:paraId="77C0ED1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4.生活饮用水不符合GB 5749要求</w:t>
            </w:r>
            <w:r>
              <w:rPr>
                <w:rFonts w:hint="eastAsia" w:ascii="Times New Roman" w:hAnsi="Times New Roman" w:eastAsia="仿宋_GB2312" w:cs="仿宋_GB2312"/>
                <w:color w:val="000000" w:themeColor="text1"/>
                <w:kern w:val="0"/>
                <w:sz w:val="24"/>
                <w:lang w:bidi="ar"/>
                <w14:textFill>
                  <w14:solidFill>
                    <w14:schemeClr w14:val="tx1"/>
                  </w14:solidFill>
                </w14:textFill>
              </w:rPr>
              <w:t>。</w:t>
            </w:r>
          </w:p>
          <w:p w14:paraId="159607E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5.生产用水管线过滤器失效带来异物风险。</w:t>
            </w:r>
          </w:p>
        </w:tc>
        <w:tc>
          <w:tcPr>
            <w:tcW w:w="3402" w:type="dxa"/>
            <w:tcMar>
              <w:top w:w="17" w:type="dxa"/>
              <w:left w:w="57" w:type="dxa"/>
              <w:bottom w:w="17" w:type="dxa"/>
              <w:right w:w="57" w:type="dxa"/>
            </w:tcMar>
            <w:vAlign w:val="center"/>
          </w:tcPr>
          <w:p w14:paraId="0992513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1.水处理系统及相应设备设施按制度进行管理、维护、检查。</w:t>
            </w:r>
          </w:p>
          <w:p w14:paraId="24571664">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2.对水处理设备运行状态进行监控并记录。</w:t>
            </w:r>
          </w:p>
          <w:p w14:paraId="711F0F38">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3.水处理设备定期维护，多介质过滤器、活性炭过滤器、保安过滤器、超滤系统定期清洗，储罐和管道定期清洗、灭菌并记录。</w:t>
            </w:r>
          </w:p>
          <w:p w14:paraId="099FAD72">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4.按照标准规程检查生产用水过滤器状态。</w:t>
            </w:r>
          </w:p>
          <w:p w14:paraId="35A37362">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5.按照标准规程确认生产用水紫外灯运行状态。</w:t>
            </w:r>
          </w:p>
          <w:p w14:paraId="71689E7E">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6.定期水质监测，包括对水中的微生物、化学物质和物理指标进行检测。</w:t>
            </w:r>
          </w:p>
          <w:p w14:paraId="4304505E">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7.相关人员知晓停电、停水或水处理设备故障停机时的应急处理措施。</w:t>
            </w:r>
          </w:p>
          <w:p w14:paraId="6C8A99B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8.定期巡检，发生管路改造等变化时需进行影响性评估。</w:t>
            </w:r>
          </w:p>
        </w:tc>
        <w:tc>
          <w:tcPr>
            <w:tcW w:w="1077" w:type="dxa"/>
            <w:tcMar>
              <w:top w:w="17" w:type="dxa"/>
              <w:left w:w="57" w:type="dxa"/>
              <w:bottom w:w="17" w:type="dxa"/>
              <w:right w:w="57" w:type="dxa"/>
            </w:tcMar>
            <w:vAlign w:val="center"/>
          </w:tcPr>
          <w:p w14:paraId="207FD82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定期</w:t>
            </w:r>
          </w:p>
        </w:tc>
        <w:tc>
          <w:tcPr>
            <w:tcW w:w="1644" w:type="dxa"/>
            <w:tcMar>
              <w:top w:w="17" w:type="dxa"/>
              <w:left w:w="57" w:type="dxa"/>
              <w:bottom w:w="17" w:type="dxa"/>
              <w:right w:w="57" w:type="dxa"/>
            </w:tcMar>
            <w:vAlign w:val="center"/>
          </w:tcPr>
          <w:p w14:paraId="2B61E13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符合GB 29923、生产用水符合GB 5749和内控要求</w:t>
            </w:r>
          </w:p>
        </w:tc>
        <w:tc>
          <w:tcPr>
            <w:tcW w:w="680" w:type="dxa"/>
            <w:tcMar>
              <w:top w:w="17" w:type="dxa"/>
              <w:left w:w="57" w:type="dxa"/>
              <w:bottom w:w="17" w:type="dxa"/>
              <w:right w:w="57" w:type="dxa"/>
            </w:tcMar>
            <w:vAlign w:val="center"/>
          </w:tcPr>
          <w:p w14:paraId="76834CA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31512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24" w:type="dxa"/>
            <w:tcMar>
              <w:top w:w="17" w:type="dxa"/>
              <w:left w:w="57" w:type="dxa"/>
              <w:bottom w:w="17" w:type="dxa"/>
              <w:right w:w="57" w:type="dxa"/>
            </w:tcMar>
            <w:vAlign w:val="center"/>
          </w:tcPr>
          <w:p w14:paraId="1A16BD1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5574C23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C6FF93F">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基础风险</w:t>
            </w:r>
          </w:p>
        </w:tc>
        <w:tc>
          <w:tcPr>
            <w:tcW w:w="850" w:type="dxa"/>
            <w:tcMar>
              <w:top w:w="17" w:type="dxa"/>
              <w:left w:w="57" w:type="dxa"/>
              <w:bottom w:w="17" w:type="dxa"/>
              <w:right w:w="57" w:type="dxa"/>
            </w:tcMar>
            <w:vAlign w:val="center"/>
          </w:tcPr>
          <w:p w14:paraId="6DA4395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生产用辅助物料带来的风险</w:t>
            </w:r>
          </w:p>
        </w:tc>
        <w:tc>
          <w:tcPr>
            <w:tcW w:w="850" w:type="dxa"/>
            <w:tcMar>
              <w:top w:w="17" w:type="dxa"/>
              <w:left w:w="57" w:type="dxa"/>
              <w:bottom w:w="17" w:type="dxa"/>
              <w:right w:w="57" w:type="dxa"/>
            </w:tcMar>
            <w:vAlign w:val="center"/>
          </w:tcPr>
          <w:p w14:paraId="423C94B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生产用压缩空气/蒸汽/氮气污染</w:t>
            </w:r>
          </w:p>
        </w:tc>
        <w:tc>
          <w:tcPr>
            <w:tcW w:w="2835" w:type="dxa"/>
            <w:tcMar>
              <w:top w:w="17" w:type="dxa"/>
              <w:left w:w="57" w:type="dxa"/>
              <w:bottom w:w="17" w:type="dxa"/>
              <w:right w:w="57" w:type="dxa"/>
            </w:tcMar>
            <w:vAlign w:val="center"/>
          </w:tcPr>
          <w:p w14:paraId="7DDC7CD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过滤器（除油、除水、除菌过滤器）失效后带来的异物、微生物、化学污染物交叉污染的风险。</w:t>
            </w:r>
          </w:p>
        </w:tc>
        <w:tc>
          <w:tcPr>
            <w:tcW w:w="3402" w:type="dxa"/>
            <w:tcMar>
              <w:top w:w="17" w:type="dxa"/>
              <w:left w:w="57" w:type="dxa"/>
              <w:bottom w:w="17" w:type="dxa"/>
              <w:right w:w="57" w:type="dxa"/>
            </w:tcMar>
            <w:vAlign w:val="center"/>
          </w:tcPr>
          <w:p w14:paraId="1365648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1.直接接触特殊医学用途配方食品的生产用压缩空气、氮气等应经过净化处理。</w:t>
            </w:r>
          </w:p>
          <w:p w14:paraId="7089B6D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2.根据预防性维护计划，定期检查、清洗或更换过滤器。</w:t>
            </w:r>
          </w:p>
        </w:tc>
        <w:tc>
          <w:tcPr>
            <w:tcW w:w="1077" w:type="dxa"/>
            <w:tcMar>
              <w:top w:w="17" w:type="dxa"/>
              <w:left w:w="57" w:type="dxa"/>
              <w:bottom w:w="17" w:type="dxa"/>
              <w:right w:w="57" w:type="dxa"/>
            </w:tcMar>
            <w:vAlign w:val="center"/>
          </w:tcPr>
          <w:p w14:paraId="18C5DDB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定期</w:t>
            </w:r>
          </w:p>
        </w:tc>
        <w:tc>
          <w:tcPr>
            <w:tcW w:w="1644" w:type="dxa"/>
            <w:tcMar>
              <w:top w:w="17" w:type="dxa"/>
              <w:left w:w="57" w:type="dxa"/>
              <w:bottom w:w="17" w:type="dxa"/>
              <w:right w:w="57" w:type="dxa"/>
            </w:tcMar>
            <w:vAlign w:val="center"/>
          </w:tcPr>
          <w:p w14:paraId="1DC8C24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符合食品安全国家标准和内控要求</w:t>
            </w:r>
          </w:p>
        </w:tc>
        <w:tc>
          <w:tcPr>
            <w:tcW w:w="680" w:type="dxa"/>
            <w:tcMar>
              <w:top w:w="17" w:type="dxa"/>
              <w:left w:w="57" w:type="dxa"/>
              <w:bottom w:w="17" w:type="dxa"/>
              <w:right w:w="57" w:type="dxa"/>
            </w:tcMar>
            <w:vAlign w:val="center"/>
          </w:tcPr>
          <w:p w14:paraId="559E212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32728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624" w:type="dxa"/>
            <w:tcMar>
              <w:top w:w="17" w:type="dxa"/>
              <w:left w:w="57" w:type="dxa"/>
              <w:bottom w:w="17" w:type="dxa"/>
              <w:right w:w="57" w:type="dxa"/>
            </w:tcMar>
            <w:vAlign w:val="center"/>
          </w:tcPr>
          <w:p w14:paraId="7993442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11C1A9E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3908B859">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850" w:type="dxa"/>
            <w:tcMar>
              <w:top w:w="17" w:type="dxa"/>
              <w:left w:w="57" w:type="dxa"/>
              <w:bottom w:w="17" w:type="dxa"/>
              <w:right w:w="57" w:type="dxa"/>
            </w:tcMar>
            <w:vAlign w:val="center"/>
          </w:tcPr>
          <w:p w14:paraId="196C02B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空气净化系统</w:t>
            </w:r>
          </w:p>
        </w:tc>
        <w:tc>
          <w:tcPr>
            <w:tcW w:w="850" w:type="dxa"/>
            <w:tcMar>
              <w:top w:w="17" w:type="dxa"/>
              <w:left w:w="57" w:type="dxa"/>
              <w:bottom w:w="17" w:type="dxa"/>
              <w:right w:w="57" w:type="dxa"/>
            </w:tcMar>
            <w:vAlign w:val="center"/>
          </w:tcPr>
          <w:p w14:paraId="2231FCB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洁净区环境控制</w:t>
            </w:r>
          </w:p>
        </w:tc>
        <w:tc>
          <w:tcPr>
            <w:tcW w:w="2835" w:type="dxa"/>
            <w:tcMar>
              <w:top w:w="17" w:type="dxa"/>
              <w:left w:w="57" w:type="dxa"/>
              <w:bottom w:w="17" w:type="dxa"/>
              <w:right w:w="57" w:type="dxa"/>
            </w:tcMar>
            <w:vAlign w:val="center"/>
          </w:tcPr>
          <w:p w14:paraId="32FAECA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1.空气净化系统无法正常运行、运行状态缺乏有效监控。</w:t>
            </w:r>
          </w:p>
          <w:p w14:paraId="08FD4EE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2.空气净化系统过滤器未按要求进行清洗或更换，导致空气污染。</w:t>
            </w:r>
          </w:p>
          <w:p w14:paraId="669BB84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3.车间空气洁净度超标引起污染。</w:t>
            </w:r>
          </w:p>
          <w:p w14:paraId="048AD06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4.车间压差不符合引起交叉污染。</w:t>
            </w:r>
          </w:p>
          <w:p w14:paraId="34316F8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5.车间温湿度不符合要求。</w:t>
            </w:r>
          </w:p>
        </w:tc>
        <w:tc>
          <w:tcPr>
            <w:tcW w:w="3402" w:type="dxa"/>
            <w:tcMar>
              <w:top w:w="17" w:type="dxa"/>
              <w:left w:w="57" w:type="dxa"/>
              <w:bottom w:w="17" w:type="dxa"/>
              <w:right w:w="57" w:type="dxa"/>
            </w:tcMar>
            <w:vAlign w:val="center"/>
          </w:tcPr>
          <w:p w14:paraId="51AF4815">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1.对空气净化系统运行状态进行监控并记录。</w:t>
            </w:r>
          </w:p>
          <w:p w14:paraId="56BE6906">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2.空气净化系统初效、中效过滤器两侧设置压差计，对初始压差、运行压差进行记录。</w:t>
            </w:r>
          </w:p>
          <w:p w14:paraId="6FB2345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3.初、中、高效过滤器按要求清洗或更换。</w:t>
            </w:r>
          </w:p>
          <w:p w14:paraId="1C907C44">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4.制定空气洁净度检测制度，配备相应环境检测仪器，定期进行洁净区环境检测。</w:t>
            </w:r>
          </w:p>
          <w:p w14:paraId="31B75BD8">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5.经空气净化的车间及作业区与室外、洁净级别不同的相邻洁净室之间设置压差计，对压差进行监控并记录。</w:t>
            </w:r>
          </w:p>
          <w:p w14:paraId="53084264">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6.生产现场配备温湿度监控设施，对温湿度进行监控并记录，温湿度与生产工艺要求相适应。</w:t>
            </w:r>
          </w:p>
        </w:tc>
        <w:tc>
          <w:tcPr>
            <w:tcW w:w="1077" w:type="dxa"/>
            <w:tcMar>
              <w:top w:w="17" w:type="dxa"/>
              <w:left w:w="57" w:type="dxa"/>
              <w:bottom w:w="17" w:type="dxa"/>
              <w:right w:w="57" w:type="dxa"/>
            </w:tcMar>
            <w:vAlign w:val="center"/>
          </w:tcPr>
          <w:p w14:paraId="493EEE4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1-2：每班</w:t>
            </w:r>
          </w:p>
          <w:p w14:paraId="1F4A2FE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3-4：定期</w:t>
            </w:r>
          </w:p>
          <w:p w14:paraId="4F74C5E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5-6：每班</w:t>
            </w:r>
          </w:p>
        </w:tc>
        <w:tc>
          <w:tcPr>
            <w:tcW w:w="1644" w:type="dxa"/>
            <w:tcMar>
              <w:top w:w="17" w:type="dxa"/>
              <w:left w:w="57" w:type="dxa"/>
              <w:bottom w:w="17" w:type="dxa"/>
              <w:right w:w="57" w:type="dxa"/>
            </w:tcMar>
            <w:vAlign w:val="center"/>
          </w:tcPr>
          <w:p w14:paraId="7826598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符合《特殊医学用途配方食品生产许可审查细则》、GB 29923和内控要求</w:t>
            </w:r>
          </w:p>
        </w:tc>
        <w:tc>
          <w:tcPr>
            <w:tcW w:w="680" w:type="dxa"/>
            <w:tcMar>
              <w:top w:w="17" w:type="dxa"/>
              <w:left w:w="57" w:type="dxa"/>
              <w:bottom w:w="17" w:type="dxa"/>
              <w:right w:w="57" w:type="dxa"/>
            </w:tcMar>
            <w:vAlign w:val="center"/>
          </w:tcPr>
          <w:p w14:paraId="058CEE1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2D47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dxa"/>
            <w:tcMar>
              <w:top w:w="17" w:type="dxa"/>
              <w:left w:w="57" w:type="dxa"/>
              <w:bottom w:w="17" w:type="dxa"/>
              <w:right w:w="57" w:type="dxa"/>
            </w:tcMar>
            <w:vAlign w:val="center"/>
          </w:tcPr>
          <w:p w14:paraId="4C2BC8D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3D82BDA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0811707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基础风险</w:t>
            </w:r>
          </w:p>
        </w:tc>
        <w:tc>
          <w:tcPr>
            <w:tcW w:w="850" w:type="dxa"/>
            <w:tcMar>
              <w:top w:w="17" w:type="dxa"/>
              <w:left w:w="57" w:type="dxa"/>
              <w:bottom w:w="17" w:type="dxa"/>
              <w:right w:w="57" w:type="dxa"/>
            </w:tcMar>
            <w:vAlign w:val="center"/>
          </w:tcPr>
          <w:p w14:paraId="797D86E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计量设备设施</w:t>
            </w:r>
          </w:p>
        </w:tc>
        <w:tc>
          <w:tcPr>
            <w:tcW w:w="850" w:type="dxa"/>
            <w:tcMar>
              <w:top w:w="17" w:type="dxa"/>
              <w:left w:w="57" w:type="dxa"/>
              <w:bottom w:w="17" w:type="dxa"/>
              <w:right w:w="57" w:type="dxa"/>
            </w:tcMar>
            <w:vAlign w:val="center"/>
          </w:tcPr>
          <w:p w14:paraId="03FD0EA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计量设备的计量管理</w:t>
            </w:r>
          </w:p>
        </w:tc>
        <w:tc>
          <w:tcPr>
            <w:tcW w:w="2835" w:type="dxa"/>
            <w:tcMar>
              <w:top w:w="17" w:type="dxa"/>
              <w:left w:w="57" w:type="dxa"/>
              <w:bottom w:w="17" w:type="dxa"/>
              <w:right w:w="57" w:type="dxa"/>
            </w:tcMar>
            <w:vAlign w:val="center"/>
          </w:tcPr>
          <w:p w14:paraId="3343CD9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计量器具未进行有效检定或校准。</w:t>
            </w:r>
          </w:p>
        </w:tc>
        <w:tc>
          <w:tcPr>
            <w:tcW w:w="3402" w:type="dxa"/>
            <w:tcMar>
              <w:top w:w="17" w:type="dxa"/>
              <w:left w:w="57" w:type="dxa"/>
              <w:bottom w:w="17" w:type="dxa"/>
              <w:right w:w="57" w:type="dxa"/>
            </w:tcMar>
            <w:vAlign w:val="center"/>
          </w:tcPr>
          <w:p w14:paraId="07C59212">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1.车</w:t>
            </w:r>
            <w:r>
              <w:rPr>
                <w:rFonts w:hint="eastAsia" w:ascii="Times New Roman" w:hAnsi="Times New Roman" w:eastAsia="仿宋_GB2312" w:cs="仿宋_GB2312"/>
                <w:snapToGrid w:val="0"/>
                <w:color w:val="000000" w:themeColor="text1"/>
                <w:spacing w:val="-11"/>
                <w:kern w:val="0"/>
                <w:sz w:val="24"/>
                <w:lang w:bidi="ar"/>
                <w14:textFill>
                  <w14:solidFill>
                    <w14:schemeClr w14:val="tx1"/>
                  </w14:solidFill>
                </w14:textFill>
              </w:rPr>
              <w:t>间温度计、流速计、压力计、秤、天平、计时器等设备应定期外</w:t>
            </w:r>
            <w:r>
              <w:rPr>
                <w:rFonts w:hint="eastAsia" w:ascii="Times New Roman" w:hAnsi="Times New Roman" w:eastAsia="仿宋_GB2312" w:cs="仿宋_GB2312"/>
                <w:color w:val="000000" w:themeColor="text1"/>
                <w:kern w:val="0"/>
                <w:sz w:val="24"/>
                <w:lang w:bidi="ar"/>
                <w14:textFill>
                  <w14:solidFill>
                    <w14:schemeClr w14:val="tx1"/>
                  </w14:solidFill>
                </w14:textFill>
              </w:rPr>
              <w:t>部检定或校准，内部校准应定期进行。</w:t>
            </w:r>
          </w:p>
          <w:p w14:paraId="7799F12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2.实验室仪器应定期外部检定或校准。</w:t>
            </w:r>
          </w:p>
          <w:p w14:paraId="060EAB3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3.制订年度仪器维护保养计划、检定/校准计划并按时实施。</w:t>
            </w:r>
          </w:p>
        </w:tc>
        <w:tc>
          <w:tcPr>
            <w:tcW w:w="1077" w:type="dxa"/>
            <w:tcMar>
              <w:top w:w="17" w:type="dxa"/>
              <w:left w:w="57" w:type="dxa"/>
              <w:bottom w:w="17" w:type="dxa"/>
              <w:right w:w="57" w:type="dxa"/>
            </w:tcMar>
            <w:vAlign w:val="center"/>
          </w:tcPr>
          <w:p w14:paraId="1CC4838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 xml:space="preserve">定期 </w:t>
            </w:r>
          </w:p>
        </w:tc>
        <w:tc>
          <w:tcPr>
            <w:tcW w:w="1644" w:type="dxa"/>
            <w:tcMar>
              <w:top w:w="17" w:type="dxa"/>
              <w:left w:w="57" w:type="dxa"/>
              <w:bottom w:w="17" w:type="dxa"/>
              <w:right w:w="57" w:type="dxa"/>
            </w:tcMar>
            <w:vAlign w:val="center"/>
          </w:tcPr>
          <w:p w14:paraId="3DECBB8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符合计量法管理要求</w:t>
            </w:r>
          </w:p>
        </w:tc>
        <w:tc>
          <w:tcPr>
            <w:tcW w:w="680" w:type="dxa"/>
            <w:tcMar>
              <w:top w:w="17" w:type="dxa"/>
              <w:left w:w="57" w:type="dxa"/>
              <w:bottom w:w="17" w:type="dxa"/>
              <w:right w:w="57" w:type="dxa"/>
            </w:tcMar>
            <w:vAlign w:val="center"/>
          </w:tcPr>
          <w:p w14:paraId="71DB82B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3A632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jc w:val="center"/>
        </w:trPr>
        <w:tc>
          <w:tcPr>
            <w:tcW w:w="624" w:type="dxa"/>
            <w:tcMar>
              <w:top w:w="17" w:type="dxa"/>
              <w:left w:w="57" w:type="dxa"/>
              <w:bottom w:w="17" w:type="dxa"/>
              <w:right w:w="57" w:type="dxa"/>
            </w:tcMar>
            <w:vAlign w:val="center"/>
          </w:tcPr>
          <w:p w14:paraId="6864B1D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8CE1E2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05F44C0B">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基础风险</w:t>
            </w:r>
          </w:p>
        </w:tc>
        <w:tc>
          <w:tcPr>
            <w:tcW w:w="850" w:type="dxa"/>
            <w:tcMar>
              <w:top w:w="17" w:type="dxa"/>
              <w:left w:w="57" w:type="dxa"/>
              <w:bottom w:w="17" w:type="dxa"/>
              <w:right w:w="57" w:type="dxa"/>
            </w:tcMar>
            <w:vAlign w:val="center"/>
          </w:tcPr>
          <w:p w14:paraId="5DE8D54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设备、设施带来的风险</w:t>
            </w:r>
          </w:p>
        </w:tc>
        <w:tc>
          <w:tcPr>
            <w:tcW w:w="850" w:type="dxa"/>
            <w:tcMar>
              <w:top w:w="17" w:type="dxa"/>
              <w:left w:w="57" w:type="dxa"/>
              <w:bottom w:w="17" w:type="dxa"/>
              <w:right w:w="57" w:type="dxa"/>
            </w:tcMar>
            <w:vAlign w:val="center"/>
          </w:tcPr>
          <w:p w14:paraId="2DF78F7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 xml:space="preserve">设备设施维护不当带来的风险 </w:t>
            </w:r>
          </w:p>
        </w:tc>
        <w:tc>
          <w:tcPr>
            <w:tcW w:w="2835" w:type="dxa"/>
            <w:tcMar>
              <w:top w:w="17" w:type="dxa"/>
              <w:left w:w="57" w:type="dxa"/>
              <w:bottom w:w="17" w:type="dxa"/>
              <w:right w:w="57" w:type="dxa"/>
            </w:tcMar>
            <w:vAlign w:val="center"/>
          </w:tcPr>
          <w:p w14:paraId="3C315BB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1.设备打开拆卸维护过程中，管线未做好防护，导致异物进入产线中，产品受异物污染风险。</w:t>
            </w:r>
          </w:p>
          <w:p w14:paraId="4BF15FB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2.与产品接触的生产设备内表面、垫圈、软连接等破损。</w:t>
            </w:r>
          </w:p>
        </w:tc>
        <w:tc>
          <w:tcPr>
            <w:tcW w:w="3402" w:type="dxa"/>
            <w:tcMar>
              <w:top w:w="17" w:type="dxa"/>
              <w:left w:w="57" w:type="dxa"/>
              <w:bottom w:w="17" w:type="dxa"/>
              <w:right w:w="57" w:type="dxa"/>
            </w:tcMar>
            <w:vAlign w:val="center"/>
          </w:tcPr>
          <w:p w14:paraId="568B167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1.按照规范的操作流程拆卸维护设备。</w:t>
            </w:r>
          </w:p>
          <w:p w14:paraId="4361736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 按照预防性维护计划定期检查更换垫圈，软连接等。</w:t>
            </w:r>
          </w:p>
          <w:p w14:paraId="5828E51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3.定期检查与产品接触的生产设备内表面是否清洁，垫圈、软连接等是否保持良好维护状态。</w:t>
            </w:r>
          </w:p>
        </w:tc>
        <w:tc>
          <w:tcPr>
            <w:tcW w:w="1077" w:type="dxa"/>
            <w:tcMar>
              <w:top w:w="17" w:type="dxa"/>
              <w:left w:w="57" w:type="dxa"/>
              <w:bottom w:w="17" w:type="dxa"/>
              <w:right w:w="57" w:type="dxa"/>
            </w:tcMar>
            <w:vAlign w:val="center"/>
          </w:tcPr>
          <w:p w14:paraId="715AA27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定期</w:t>
            </w:r>
          </w:p>
        </w:tc>
        <w:tc>
          <w:tcPr>
            <w:tcW w:w="1644" w:type="dxa"/>
            <w:tcMar>
              <w:top w:w="17" w:type="dxa"/>
              <w:left w:w="57" w:type="dxa"/>
              <w:bottom w:w="17" w:type="dxa"/>
              <w:right w:w="57" w:type="dxa"/>
            </w:tcMar>
            <w:vAlign w:val="center"/>
          </w:tcPr>
          <w:p w14:paraId="18B5FAC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符合食品安全国家标准和内控要求</w:t>
            </w:r>
          </w:p>
        </w:tc>
        <w:tc>
          <w:tcPr>
            <w:tcW w:w="680" w:type="dxa"/>
            <w:tcMar>
              <w:top w:w="17" w:type="dxa"/>
              <w:left w:w="57" w:type="dxa"/>
              <w:bottom w:w="17" w:type="dxa"/>
              <w:right w:w="57" w:type="dxa"/>
            </w:tcMar>
            <w:vAlign w:val="center"/>
          </w:tcPr>
          <w:p w14:paraId="30D1D86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39F71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2" w:hRule="atLeast"/>
          <w:jc w:val="center"/>
        </w:trPr>
        <w:tc>
          <w:tcPr>
            <w:tcW w:w="624" w:type="dxa"/>
            <w:tcMar>
              <w:top w:w="17" w:type="dxa"/>
              <w:left w:w="57" w:type="dxa"/>
              <w:bottom w:w="17" w:type="dxa"/>
              <w:right w:w="57" w:type="dxa"/>
            </w:tcMar>
            <w:vAlign w:val="center"/>
          </w:tcPr>
          <w:p w14:paraId="4C098A2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5967210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1C5A294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基础风险</w:t>
            </w:r>
          </w:p>
        </w:tc>
        <w:tc>
          <w:tcPr>
            <w:tcW w:w="850" w:type="dxa"/>
            <w:tcMar>
              <w:top w:w="17" w:type="dxa"/>
              <w:left w:w="57" w:type="dxa"/>
              <w:bottom w:w="17" w:type="dxa"/>
              <w:right w:w="57" w:type="dxa"/>
            </w:tcMar>
            <w:vAlign w:val="center"/>
          </w:tcPr>
          <w:p w14:paraId="527B2B1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检验设备设施</w:t>
            </w:r>
          </w:p>
        </w:tc>
        <w:tc>
          <w:tcPr>
            <w:tcW w:w="850" w:type="dxa"/>
            <w:tcMar>
              <w:top w:w="17" w:type="dxa"/>
              <w:left w:w="57" w:type="dxa"/>
              <w:bottom w:w="17" w:type="dxa"/>
              <w:right w:w="57" w:type="dxa"/>
            </w:tcMar>
            <w:vAlign w:val="center"/>
          </w:tcPr>
          <w:p w14:paraId="74BEF7D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检验设备设施</w:t>
            </w:r>
          </w:p>
        </w:tc>
        <w:tc>
          <w:tcPr>
            <w:tcW w:w="2835" w:type="dxa"/>
            <w:tcMar>
              <w:top w:w="17" w:type="dxa"/>
              <w:left w:w="57" w:type="dxa"/>
              <w:bottom w:w="17" w:type="dxa"/>
              <w:right w:w="57" w:type="dxa"/>
            </w:tcMar>
            <w:vAlign w:val="center"/>
          </w:tcPr>
          <w:p w14:paraId="35DF1A8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1.检验设备、设施不满足产品检验要求。</w:t>
            </w:r>
          </w:p>
          <w:p w14:paraId="7720F17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2.未按照规定进行设备、设施的维护保养，设备检测使用未检定/校准的设备。</w:t>
            </w:r>
          </w:p>
        </w:tc>
        <w:tc>
          <w:tcPr>
            <w:tcW w:w="3402" w:type="dxa"/>
            <w:tcMar>
              <w:top w:w="17" w:type="dxa"/>
              <w:left w:w="57" w:type="dxa"/>
              <w:bottom w:w="17" w:type="dxa"/>
              <w:right w:w="57" w:type="dxa"/>
            </w:tcMar>
            <w:vAlign w:val="center"/>
          </w:tcPr>
          <w:p w14:paraId="0A01CF0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1.实验前检查检验环境，确保环境满足相应检验要求。</w:t>
            </w:r>
          </w:p>
          <w:p w14:paraId="0FAC960E">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2.实验前确认相应仪器已检定/校准，参数满足检验要求。</w:t>
            </w:r>
          </w:p>
          <w:p w14:paraId="6EC1A556">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w:t>
            </w:r>
            <w:r>
              <w:rPr>
                <w:rFonts w:hint="eastAsia" w:ascii="Times New Roman" w:hAnsi="Times New Roman" w:eastAsia="仿宋_GB2312" w:cs="仿宋_GB2312"/>
                <w:color w:val="000000" w:themeColor="text1"/>
                <w:sz w:val="24"/>
                <w14:textFill>
                  <w14:solidFill>
                    <w14:schemeClr w14:val="tx1"/>
                  </w14:solidFill>
                </w14:textFill>
              </w:rPr>
              <w:t>制定</w:t>
            </w:r>
            <w:r>
              <w:rPr>
                <w:rFonts w:hint="eastAsia" w:ascii="Times New Roman" w:hAnsi="Times New Roman" w:eastAsia="仿宋_GB2312" w:cs="仿宋_GB2312"/>
                <w:color w:val="000000" w:themeColor="text1"/>
                <w:kern w:val="0"/>
                <w:sz w:val="24"/>
                <w:lang w:bidi="ar"/>
                <w14:textFill>
                  <w14:solidFill>
                    <w14:schemeClr w14:val="tx1"/>
                  </w14:solidFill>
                </w14:textFill>
              </w:rPr>
              <w:t>仪器的</w:t>
            </w:r>
            <w:r>
              <w:rPr>
                <w:rFonts w:hint="eastAsia" w:ascii="Times New Roman" w:hAnsi="Times New Roman" w:eastAsia="仿宋_GB2312" w:cs="仿宋_GB2312"/>
                <w:color w:val="000000" w:themeColor="text1"/>
                <w:sz w:val="24"/>
                <w14:textFill>
                  <w14:solidFill>
                    <w14:schemeClr w14:val="tx1"/>
                  </w14:solidFill>
                </w14:textFill>
              </w:rPr>
              <w:t>维护保养计划、检定/校准计划，并按计划实施。</w:t>
            </w:r>
          </w:p>
        </w:tc>
        <w:tc>
          <w:tcPr>
            <w:tcW w:w="1077" w:type="dxa"/>
            <w:tcMar>
              <w:top w:w="17" w:type="dxa"/>
              <w:left w:w="57" w:type="dxa"/>
              <w:bottom w:w="17" w:type="dxa"/>
              <w:right w:w="57" w:type="dxa"/>
            </w:tcMar>
            <w:vAlign w:val="center"/>
          </w:tcPr>
          <w:p w14:paraId="0392068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1：每日</w:t>
            </w:r>
          </w:p>
          <w:p w14:paraId="4FF8B5A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2：每次实验前/定期</w:t>
            </w:r>
          </w:p>
          <w:p w14:paraId="2C36937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3：定期</w:t>
            </w:r>
          </w:p>
        </w:tc>
        <w:tc>
          <w:tcPr>
            <w:tcW w:w="1644" w:type="dxa"/>
            <w:tcMar>
              <w:top w:w="17" w:type="dxa"/>
              <w:left w:w="57" w:type="dxa"/>
              <w:bottom w:w="17" w:type="dxa"/>
              <w:right w:w="57" w:type="dxa"/>
            </w:tcMar>
            <w:vAlign w:val="center"/>
          </w:tcPr>
          <w:p w14:paraId="0A97D7A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219B34A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02223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624" w:type="dxa"/>
            <w:tcMar>
              <w:top w:w="17" w:type="dxa"/>
              <w:left w:w="57" w:type="dxa"/>
              <w:bottom w:w="17" w:type="dxa"/>
              <w:right w:w="57" w:type="dxa"/>
            </w:tcMar>
            <w:vAlign w:val="center"/>
          </w:tcPr>
          <w:p w14:paraId="1D439A3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2A32D82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2C4DCC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基础风险</w:t>
            </w:r>
          </w:p>
        </w:tc>
        <w:tc>
          <w:tcPr>
            <w:tcW w:w="850" w:type="dxa"/>
            <w:tcMar>
              <w:top w:w="17" w:type="dxa"/>
              <w:left w:w="57" w:type="dxa"/>
              <w:bottom w:w="17" w:type="dxa"/>
              <w:right w:w="57" w:type="dxa"/>
            </w:tcMar>
            <w:vAlign w:val="center"/>
          </w:tcPr>
          <w:p w14:paraId="127C8B40">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人员</w:t>
            </w:r>
          </w:p>
          <w:p w14:paraId="436C48C9">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管理</w:t>
            </w:r>
          </w:p>
        </w:tc>
        <w:tc>
          <w:tcPr>
            <w:tcW w:w="850" w:type="dxa"/>
            <w:tcMar>
              <w:top w:w="17" w:type="dxa"/>
              <w:left w:w="57" w:type="dxa"/>
              <w:bottom w:w="17" w:type="dxa"/>
              <w:right w:w="57" w:type="dxa"/>
            </w:tcMar>
            <w:vAlign w:val="center"/>
          </w:tcPr>
          <w:p w14:paraId="39A6E0A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人员卫生不规范</w:t>
            </w:r>
          </w:p>
        </w:tc>
        <w:tc>
          <w:tcPr>
            <w:tcW w:w="2835" w:type="dxa"/>
            <w:tcMar>
              <w:top w:w="17" w:type="dxa"/>
              <w:left w:w="57" w:type="dxa"/>
              <w:bottom w:w="17" w:type="dxa"/>
              <w:right w:w="57" w:type="dxa"/>
            </w:tcMar>
            <w:vAlign w:val="center"/>
          </w:tcPr>
          <w:p w14:paraId="195DAD9E">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1.食品加工人员在执行车间生产活动时戴首饰、未佩戴发网、留长指甲，携带与生产无关的个人用品或者其他与生产不相关物品。</w:t>
            </w:r>
          </w:p>
          <w:p w14:paraId="5354A365">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2.食品加工人员喷洒香水、携带药品进入。</w:t>
            </w:r>
          </w:p>
          <w:p w14:paraId="7ECFD665">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3.人员未按照规定的要求进行洗手更衣消毒。</w:t>
            </w:r>
          </w:p>
          <w:p w14:paraId="28B1E1E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4.洁净服清洁消毒不彻底或传递过程中再污染。</w:t>
            </w:r>
          </w:p>
        </w:tc>
        <w:tc>
          <w:tcPr>
            <w:tcW w:w="3402" w:type="dxa"/>
            <w:tcMar>
              <w:top w:w="17" w:type="dxa"/>
              <w:left w:w="57" w:type="dxa"/>
              <w:bottom w:w="17" w:type="dxa"/>
              <w:right w:w="57" w:type="dxa"/>
            </w:tcMar>
            <w:vAlign w:val="center"/>
          </w:tcPr>
          <w:p w14:paraId="3D9E4D8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1.抽查人员个人卫生，人员洗手消毒是否按标准执行。</w:t>
            </w:r>
          </w:p>
          <w:p w14:paraId="7B07745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2.符合性抽查确保更衣及洗手消毒设施能够正常使用。</w:t>
            </w:r>
          </w:p>
          <w:p w14:paraId="78282D5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3.清洁作业区更衣室内的手部消毒剂在有效期内。</w:t>
            </w:r>
          </w:p>
          <w:p w14:paraId="57437C1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4.对洁净服、鞋清洗消毒有效性定期评估和确认，并对所采取程序与规定程序进行符合性抽查。</w:t>
            </w:r>
          </w:p>
        </w:tc>
        <w:tc>
          <w:tcPr>
            <w:tcW w:w="1077" w:type="dxa"/>
            <w:tcMar>
              <w:top w:w="17" w:type="dxa"/>
              <w:left w:w="57" w:type="dxa"/>
              <w:bottom w:w="17" w:type="dxa"/>
              <w:right w:w="57" w:type="dxa"/>
            </w:tcMar>
            <w:vAlign w:val="center"/>
          </w:tcPr>
          <w:p w14:paraId="3C2ED0C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 xml:space="preserve">定期/不定期 </w:t>
            </w:r>
          </w:p>
        </w:tc>
        <w:tc>
          <w:tcPr>
            <w:tcW w:w="1644" w:type="dxa"/>
            <w:tcMar>
              <w:top w:w="17" w:type="dxa"/>
              <w:left w:w="57" w:type="dxa"/>
              <w:bottom w:w="17" w:type="dxa"/>
              <w:right w:w="57" w:type="dxa"/>
            </w:tcMar>
            <w:vAlign w:val="center"/>
          </w:tcPr>
          <w:p w14:paraId="70B135F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6115D41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CAD9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8" w:hRule="atLeast"/>
          <w:jc w:val="center"/>
        </w:trPr>
        <w:tc>
          <w:tcPr>
            <w:tcW w:w="624" w:type="dxa"/>
            <w:tcMar>
              <w:top w:w="17" w:type="dxa"/>
              <w:left w:w="57" w:type="dxa"/>
              <w:bottom w:w="17" w:type="dxa"/>
              <w:right w:w="57" w:type="dxa"/>
            </w:tcMar>
            <w:vAlign w:val="center"/>
          </w:tcPr>
          <w:p w14:paraId="72EB7F6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72334BE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18F09A3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基础风险</w:t>
            </w:r>
          </w:p>
        </w:tc>
        <w:tc>
          <w:tcPr>
            <w:tcW w:w="850" w:type="dxa"/>
            <w:tcMar>
              <w:top w:w="17" w:type="dxa"/>
              <w:left w:w="57" w:type="dxa"/>
              <w:bottom w:w="17" w:type="dxa"/>
              <w:right w:w="57" w:type="dxa"/>
            </w:tcMar>
            <w:vAlign w:val="center"/>
          </w:tcPr>
          <w:p w14:paraId="47FBE7F0">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人员</w:t>
            </w:r>
          </w:p>
          <w:p w14:paraId="76CC86D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管理</w:t>
            </w:r>
          </w:p>
        </w:tc>
        <w:tc>
          <w:tcPr>
            <w:tcW w:w="850" w:type="dxa"/>
            <w:tcMar>
              <w:top w:w="17" w:type="dxa"/>
              <w:left w:w="57" w:type="dxa"/>
              <w:bottom w:w="17" w:type="dxa"/>
              <w:right w:w="57" w:type="dxa"/>
            </w:tcMar>
            <w:vAlign w:val="center"/>
          </w:tcPr>
          <w:p w14:paraId="75F610F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人员不良健康状况影响</w:t>
            </w:r>
          </w:p>
        </w:tc>
        <w:tc>
          <w:tcPr>
            <w:tcW w:w="2835" w:type="dxa"/>
            <w:tcMar>
              <w:top w:w="17" w:type="dxa"/>
              <w:left w:w="57" w:type="dxa"/>
              <w:bottom w:w="17" w:type="dxa"/>
              <w:right w:w="57" w:type="dxa"/>
            </w:tcMar>
            <w:vAlign w:val="center"/>
          </w:tcPr>
          <w:p w14:paraId="26C184B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从事直接接触食品的工作人员身体状况不符合相关规定而从事生产。</w:t>
            </w:r>
          </w:p>
        </w:tc>
        <w:tc>
          <w:tcPr>
            <w:tcW w:w="3402" w:type="dxa"/>
            <w:tcMar>
              <w:top w:w="17" w:type="dxa"/>
              <w:left w:w="57" w:type="dxa"/>
              <w:bottom w:w="17" w:type="dxa"/>
              <w:right w:w="57" w:type="dxa"/>
            </w:tcMar>
            <w:vAlign w:val="center"/>
          </w:tcPr>
          <w:p w14:paraId="50BD234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1.从事直接接触食品的生产工作人员身体异常健康状况要每日例行汇报、例行检查。</w:t>
            </w:r>
          </w:p>
          <w:p w14:paraId="3C0BD7B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2.禁止患有有碍食品安全的疾病或疾患的人员进入工作区。</w:t>
            </w:r>
          </w:p>
        </w:tc>
        <w:tc>
          <w:tcPr>
            <w:tcW w:w="1077" w:type="dxa"/>
            <w:tcMar>
              <w:top w:w="17" w:type="dxa"/>
              <w:left w:w="57" w:type="dxa"/>
              <w:bottom w:w="17" w:type="dxa"/>
              <w:right w:w="57" w:type="dxa"/>
            </w:tcMar>
            <w:vAlign w:val="center"/>
          </w:tcPr>
          <w:p w14:paraId="51A3896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5F78E17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符合《食品安全法》的要求</w:t>
            </w:r>
          </w:p>
        </w:tc>
        <w:tc>
          <w:tcPr>
            <w:tcW w:w="680" w:type="dxa"/>
            <w:tcMar>
              <w:top w:w="17" w:type="dxa"/>
              <w:left w:w="57" w:type="dxa"/>
              <w:bottom w:w="17" w:type="dxa"/>
              <w:right w:w="57" w:type="dxa"/>
            </w:tcMar>
            <w:vAlign w:val="center"/>
          </w:tcPr>
          <w:p w14:paraId="4B5FAF2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BD61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3" w:hRule="atLeast"/>
          <w:jc w:val="center"/>
        </w:trPr>
        <w:tc>
          <w:tcPr>
            <w:tcW w:w="624" w:type="dxa"/>
            <w:tcMar>
              <w:top w:w="17" w:type="dxa"/>
              <w:left w:w="57" w:type="dxa"/>
              <w:bottom w:w="17" w:type="dxa"/>
              <w:right w:w="57" w:type="dxa"/>
            </w:tcMar>
            <w:vAlign w:val="center"/>
          </w:tcPr>
          <w:p w14:paraId="78DC438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209A1EC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1766605">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334776FD">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进货</w:t>
            </w:r>
          </w:p>
          <w:p w14:paraId="230974EF">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查验</w:t>
            </w:r>
          </w:p>
        </w:tc>
        <w:tc>
          <w:tcPr>
            <w:tcW w:w="850" w:type="dxa"/>
            <w:tcMar>
              <w:top w:w="17" w:type="dxa"/>
              <w:left w:w="57" w:type="dxa"/>
              <w:bottom w:w="17" w:type="dxa"/>
              <w:right w:w="57" w:type="dxa"/>
            </w:tcMar>
            <w:vAlign w:val="center"/>
          </w:tcPr>
          <w:p w14:paraId="79FDAD7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供应商资质合规风险</w:t>
            </w:r>
          </w:p>
        </w:tc>
        <w:tc>
          <w:tcPr>
            <w:tcW w:w="2835" w:type="dxa"/>
            <w:tcMar>
              <w:top w:w="17" w:type="dxa"/>
              <w:left w:w="57" w:type="dxa"/>
              <w:bottom w:w="17" w:type="dxa"/>
              <w:right w:w="57" w:type="dxa"/>
            </w:tcMar>
            <w:vAlign w:val="center"/>
          </w:tcPr>
          <w:p w14:paraId="6988F42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1.采购非合格供应商的原料用于生产。</w:t>
            </w:r>
          </w:p>
          <w:p w14:paraId="08BF841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2.未进行供应商审核。</w:t>
            </w:r>
          </w:p>
          <w:p w14:paraId="303EB41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3.未索取供货者的许可资质证明。</w:t>
            </w:r>
          </w:p>
          <w:p w14:paraId="565FEB0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4.供应商许可资质证明变更或过期，未及时更新。</w:t>
            </w:r>
          </w:p>
        </w:tc>
        <w:tc>
          <w:tcPr>
            <w:tcW w:w="3402" w:type="dxa"/>
            <w:tcMar>
              <w:top w:w="17" w:type="dxa"/>
              <w:left w:w="57" w:type="dxa"/>
              <w:bottom w:w="17" w:type="dxa"/>
              <w:right w:w="57" w:type="dxa"/>
            </w:tcMar>
            <w:vAlign w:val="center"/>
          </w:tcPr>
          <w:p w14:paraId="359DD41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1.建立合格供应商名录，生产用物料采购时必须从合格供应商名录中选取供应商。</w:t>
            </w:r>
          </w:p>
          <w:p w14:paraId="09B54DF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2.明确物料供应商的遴选、退出标准以及审核、评价程序，根据供应商的审核/评估计划，对供应商进行审核/评估。</w:t>
            </w:r>
          </w:p>
          <w:p w14:paraId="777450A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3.供应商的许可资质应齐全，过期的应重新获取。</w:t>
            </w:r>
          </w:p>
          <w:p w14:paraId="4B1A38E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4.采购合同约定，供应商如有资质、生产工艺、原料变更时，及时通知。</w:t>
            </w:r>
          </w:p>
        </w:tc>
        <w:tc>
          <w:tcPr>
            <w:tcW w:w="1077" w:type="dxa"/>
            <w:tcMar>
              <w:top w:w="17" w:type="dxa"/>
              <w:left w:w="57" w:type="dxa"/>
              <w:bottom w:w="17" w:type="dxa"/>
              <w:right w:w="57" w:type="dxa"/>
            </w:tcMar>
            <w:vAlign w:val="center"/>
          </w:tcPr>
          <w:p w14:paraId="7FFD610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定期</w:t>
            </w:r>
          </w:p>
        </w:tc>
        <w:tc>
          <w:tcPr>
            <w:tcW w:w="1644" w:type="dxa"/>
            <w:tcMar>
              <w:top w:w="17" w:type="dxa"/>
              <w:left w:w="57" w:type="dxa"/>
              <w:bottom w:w="17" w:type="dxa"/>
              <w:right w:w="57" w:type="dxa"/>
            </w:tcMar>
            <w:vAlign w:val="center"/>
          </w:tcPr>
          <w:p w14:paraId="1A6286D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w:t>
            </w:r>
            <w:r>
              <w:rPr>
                <w:rFonts w:hint="eastAsia" w:ascii="Times New Roman" w:hAnsi="Times New Roman" w:eastAsia="仿宋_GB2312" w:cs="仿宋_GB2312"/>
                <w:snapToGrid w:val="0"/>
                <w:color w:val="000000" w:themeColor="text1"/>
                <w:spacing w:val="-11"/>
                <w:sz w:val="24"/>
                <w14:textFill>
                  <w14:solidFill>
                    <w14:schemeClr w14:val="tx1"/>
                  </w14:solidFill>
                </w14:textFill>
              </w:rPr>
              <w:t>细则》、GB 14881、GB 29923和</w:t>
            </w:r>
            <w:r>
              <w:rPr>
                <w:rFonts w:hint="eastAsia" w:ascii="Times New Roman" w:hAnsi="Times New Roman" w:eastAsia="仿宋_GB2312" w:cs="仿宋_GB2312"/>
                <w:color w:val="000000" w:themeColor="text1"/>
                <w:sz w:val="24"/>
                <w14:textFill>
                  <w14:solidFill>
                    <w14:schemeClr w14:val="tx1"/>
                  </w14:solidFill>
                </w14:textFill>
              </w:rPr>
              <w:t>内控要求</w:t>
            </w:r>
          </w:p>
        </w:tc>
        <w:tc>
          <w:tcPr>
            <w:tcW w:w="680" w:type="dxa"/>
            <w:tcMar>
              <w:top w:w="17" w:type="dxa"/>
              <w:left w:w="57" w:type="dxa"/>
              <w:bottom w:w="17" w:type="dxa"/>
              <w:right w:w="57" w:type="dxa"/>
            </w:tcMar>
            <w:vAlign w:val="center"/>
          </w:tcPr>
          <w:p w14:paraId="4362163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DB97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0" w:hRule="atLeast"/>
          <w:jc w:val="center"/>
        </w:trPr>
        <w:tc>
          <w:tcPr>
            <w:tcW w:w="624" w:type="dxa"/>
            <w:tcMar>
              <w:top w:w="17" w:type="dxa"/>
              <w:left w:w="57" w:type="dxa"/>
              <w:bottom w:w="17" w:type="dxa"/>
              <w:right w:w="57" w:type="dxa"/>
            </w:tcMar>
            <w:vAlign w:val="center"/>
          </w:tcPr>
          <w:p w14:paraId="2E5FEBB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0606847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69A40BA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7AB6814F">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进货</w:t>
            </w:r>
          </w:p>
          <w:p w14:paraId="75DDB3F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查验</w:t>
            </w:r>
          </w:p>
        </w:tc>
        <w:tc>
          <w:tcPr>
            <w:tcW w:w="850" w:type="dxa"/>
            <w:tcMar>
              <w:top w:w="17" w:type="dxa"/>
              <w:left w:w="57" w:type="dxa"/>
              <w:bottom w:w="17" w:type="dxa"/>
              <w:right w:w="57" w:type="dxa"/>
            </w:tcMar>
            <w:vAlign w:val="center"/>
          </w:tcPr>
          <w:p w14:paraId="4A4B530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食品原料、包材、食品添加剂验收</w:t>
            </w:r>
          </w:p>
        </w:tc>
        <w:tc>
          <w:tcPr>
            <w:tcW w:w="2835" w:type="dxa"/>
            <w:tcMar>
              <w:top w:w="17" w:type="dxa"/>
              <w:left w:w="57" w:type="dxa"/>
              <w:bottom w:w="17" w:type="dxa"/>
              <w:right w:w="57" w:type="dxa"/>
            </w:tcMar>
            <w:vAlign w:val="center"/>
          </w:tcPr>
          <w:p w14:paraId="59F2426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到货的食品原料和食品添加剂腐败变质、油脂酸败、霉变生虫、污秽不洁、混有异物、掺假掺杂或者感官性状异常。</w:t>
            </w:r>
          </w:p>
        </w:tc>
        <w:tc>
          <w:tcPr>
            <w:tcW w:w="3402" w:type="dxa"/>
            <w:tcMar>
              <w:top w:w="17" w:type="dxa"/>
              <w:left w:w="57" w:type="dxa"/>
              <w:bottom w:w="17" w:type="dxa"/>
              <w:right w:w="57" w:type="dxa"/>
            </w:tcMar>
            <w:vAlign w:val="center"/>
          </w:tcPr>
          <w:p w14:paraId="406FF4B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1.到货时仓库人员对车辆车厢进行车辆卫生检查，无潜在污染源（有毒、有害物品）一同贮存、运输，备有防雨防尘设施。</w:t>
            </w:r>
          </w:p>
          <w:p w14:paraId="091F90B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2.物料收货过程中对每包完整性进行检查。</w:t>
            </w:r>
          </w:p>
          <w:p w14:paraId="5CC56BA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3.物料必须经过验收合格后方可使用。</w:t>
            </w:r>
          </w:p>
        </w:tc>
        <w:tc>
          <w:tcPr>
            <w:tcW w:w="1077" w:type="dxa"/>
            <w:tcMar>
              <w:top w:w="17" w:type="dxa"/>
              <w:left w:w="57" w:type="dxa"/>
              <w:bottom w:w="17" w:type="dxa"/>
              <w:right w:w="57" w:type="dxa"/>
            </w:tcMar>
            <w:vAlign w:val="center"/>
          </w:tcPr>
          <w:p w14:paraId="653AAEF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119C7FA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符合食品原料/食品添加剂/食品相关产品安全标准</w:t>
            </w:r>
          </w:p>
        </w:tc>
        <w:tc>
          <w:tcPr>
            <w:tcW w:w="680" w:type="dxa"/>
            <w:tcMar>
              <w:top w:w="17" w:type="dxa"/>
              <w:left w:w="57" w:type="dxa"/>
              <w:bottom w:w="17" w:type="dxa"/>
              <w:right w:w="57" w:type="dxa"/>
            </w:tcMar>
            <w:vAlign w:val="center"/>
          </w:tcPr>
          <w:p w14:paraId="67DA146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4B2C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32" w:hRule="atLeast"/>
          <w:jc w:val="center"/>
        </w:trPr>
        <w:tc>
          <w:tcPr>
            <w:tcW w:w="624" w:type="dxa"/>
            <w:tcMar>
              <w:top w:w="17" w:type="dxa"/>
              <w:left w:w="57" w:type="dxa"/>
              <w:bottom w:w="17" w:type="dxa"/>
              <w:right w:w="57" w:type="dxa"/>
            </w:tcMar>
            <w:vAlign w:val="center"/>
          </w:tcPr>
          <w:p w14:paraId="716A392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0E3AFA7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2802特殊医学用途婴儿配方食品</w:t>
            </w:r>
          </w:p>
        </w:tc>
        <w:tc>
          <w:tcPr>
            <w:tcW w:w="624" w:type="dxa"/>
            <w:tcMar>
              <w:top w:w="17" w:type="dxa"/>
              <w:left w:w="57" w:type="dxa"/>
              <w:bottom w:w="17" w:type="dxa"/>
              <w:right w:w="57" w:type="dxa"/>
            </w:tcMar>
            <w:vAlign w:val="center"/>
          </w:tcPr>
          <w:p w14:paraId="7EFA33A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7D36CA9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进货</w:t>
            </w:r>
          </w:p>
          <w:p w14:paraId="68B6585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查验</w:t>
            </w:r>
          </w:p>
        </w:tc>
        <w:tc>
          <w:tcPr>
            <w:tcW w:w="850" w:type="dxa"/>
            <w:tcMar>
              <w:top w:w="17" w:type="dxa"/>
              <w:left w:w="57" w:type="dxa"/>
              <w:bottom w:w="17" w:type="dxa"/>
              <w:right w:w="57" w:type="dxa"/>
            </w:tcMar>
            <w:vAlign w:val="center"/>
          </w:tcPr>
          <w:p w14:paraId="7961AE0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食品原料质量控制</w:t>
            </w:r>
          </w:p>
        </w:tc>
        <w:tc>
          <w:tcPr>
            <w:tcW w:w="2835" w:type="dxa"/>
            <w:tcMar>
              <w:top w:w="17" w:type="dxa"/>
              <w:left w:w="57" w:type="dxa"/>
              <w:bottom w:w="17" w:type="dxa"/>
              <w:right w:w="57" w:type="dxa"/>
            </w:tcMar>
            <w:vAlign w:val="center"/>
          </w:tcPr>
          <w:p w14:paraId="7B33405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1.大豆原料没有经过加热灭酶处理，或灭酶不彻底的风险。</w:t>
            </w:r>
          </w:p>
          <w:p w14:paraId="1CE8E6C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2.原油中三氯丙醇酯含量过高，污染产品。</w:t>
            </w:r>
          </w:p>
          <w:p w14:paraId="0E8A2C5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3.乳制品原料未检验三聚氰胺，或三聚氰胺超标。</w:t>
            </w:r>
          </w:p>
        </w:tc>
        <w:tc>
          <w:tcPr>
            <w:tcW w:w="3402" w:type="dxa"/>
            <w:tcMar>
              <w:top w:w="17" w:type="dxa"/>
              <w:left w:w="57" w:type="dxa"/>
              <w:bottom w:w="17" w:type="dxa"/>
              <w:right w:w="57" w:type="dxa"/>
            </w:tcMar>
            <w:vAlign w:val="center"/>
          </w:tcPr>
          <w:p w14:paraId="3E15B13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1.确认入厂原料（含有大豆成分的制品）脲酶活性为阴性。</w:t>
            </w:r>
          </w:p>
          <w:p w14:paraId="4CC8564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2.控制三氯丙醇酯含量，验收供货方报告或定期检测。</w:t>
            </w:r>
          </w:p>
          <w:p w14:paraId="4D85B03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lang w:bidi="ar"/>
                <w14:textFill>
                  <w14:solidFill>
                    <w14:schemeClr w14:val="tx1"/>
                  </w14:solidFill>
                </w14:textFill>
              </w:rPr>
              <w:t>3.</w:t>
            </w:r>
            <w:r>
              <w:rPr>
                <w:rFonts w:hint="eastAsia" w:ascii="Times New Roman" w:hAnsi="Times New Roman" w:eastAsia="仿宋_GB2312" w:cs="仿宋_GB2312"/>
                <w:color w:val="000000" w:themeColor="text1"/>
                <w:kern w:val="0"/>
                <w:sz w:val="24"/>
                <w:lang w:bidi="ar"/>
                <w14:textFill>
                  <w14:solidFill>
                    <w14:schemeClr w14:val="tx1"/>
                  </w14:solidFill>
                </w14:textFill>
              </w:rPr>
              <w:t>三聚氰胺应为放行项，批批检验。</w:t>
            </w:r>
          </w:p>
        </w:tc>
        <w:tc>
          <w:tcPr>
            <w:tcW w:w="1077" w:type="dxa"/>
            <w:tcMar>
              <w:top w:w="17" w:type="dxa"/>
              <w:left w:w="57" w:type="dxa"/>
              <w:bottom w:w="17" w:type="dxa"/>
              <w:right w:w="57" w:type="dxa"/>
            </w:tcMar>
            <w:vAlign w:val="center"/>
          </w:tcPr>
          <w:p w14:paraId="738B6E6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1：每日</w:t>
            </w:r>
          </w:p>
          <w:p w14:paraId="649A10D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 xml:space="preserve">2：每批/定期 </w:t>
            </w:r>
          </w:p>
          <w:p w14:paraId="0F0B79E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3：每批</w:t>
            </w:r>
          </w:p>
        </w:tc>
        <w:tc>
          <w:tcPr>
            <w:tcW w:w="1644" w:type="dxa"/>
            <w:tcMar>
              <w:top w:w="17" w:type="dxa"/>
              <w:left w:w="57" w:type="dxa"/>
              <w:bottom w:w="17" w:type="dxa"/>
              <w:right w:w="57" w:type="dxa"/>
            </w:tcMar>
            <w:vAlign w:val="center"/>
          </w:tcPr>
          <w:p w14:paraId="456E1F8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符合食品安全国家标准和内控要求</w:t>
            </w:r>
          </w:p>
        </w:tc>
        <w:tc>
          <w:tcPr>
            <w:tcW w:w="680" w:type="dxa"/>
            <w:tcMar>
              <w:top w:w="17" w:type="dxa"/>
              <w:left w:w="57" w:type="dxa"/>
              <w:bottom w:w="17" w:type="dxa"/>
              <w:right w:w="57" w:type="dxa"/>
            </w:tcMar>
            <w:vAlign w:val="center"/>
          </w:tcPr>
          <w:p w14:paraId="1C1693D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2615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4" w:hRule="atLeast"/>
          <w:jc w:val="center"/>
        </w:trPr>
        <w:tc>
          <w:tcPr>
            <w:tcW w:w="624" w:type="dxa"/>
            <w:tcMar>
              <w:top w:w="17" w:type="dxa"/>
              <w:left w:w="57" w:type="dxa"/>
              <w:bottom w:w="17" w:type="dxa"/>
              <w:right w:w="57" w:type="dxa"/>
            </w:tcMar>
            <w:vAlign w:val="center"/>
          </w:tcPr>
          <w:p w14:paraId="1C374D4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44F69B9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644F2CD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079CE10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进货</w:t>
            </w:r>
          </w:p>
          <w:p w14:paraId="09F5480D">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查验</w:t>
            </w:r>
          </w:p>
        </w:tc>
        <w:tc>
          <w:tcPr>
            <w:tcW w:w="850" w:type="dxa"/>
            <w:tcMar>
              <w:top w:w="17" w:type="dxa"/>
              <w:left w:w="57" w:type="dxa"/>
              <w:bottom w:w="17" w:type="dxa"/>
              <w:right w:w="57" w:type="dxa"/>
            </w:tcMar>
            <w:vAlign w:val="center"/>
          </w:tcPr>
          <w:p w14:paraId="6003F41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 xml:space="preserve">食品原料、包材、食品添加剂质量控制 </w:t>
            </w:r>
          </w:p>
        </w:tc>
        <w:tc>
          <w:tcPr>
            <w:tcW w:w="2835" w:type="dxa"/>
            <w:tcMar>
              <w:top w:w="17" w:type="dxa"/>
              <w:left w:w="57" w:type="dxa"/>
              <w:bottom w:w="17" w:type="dxa"/>
              <w:right w:w="57" w:type="dxa"/>
            </w:tcMar>
            <w:vAlign w:val="center"/>
          </w:tcPr>
          <w:p w14:paraId="48F11DB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1.原物料、包装材料无检验合格报告、检验报告项目不全、原料不符合质量标准要求。</w:t>
            </w:r>
          </w:p>
          <w:p w14:paraId="1EA327D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2.到货的食品原料、包材、食品添加剂未提供与实物一致的合格证明文件的风险。</w:t>
            </w:r>
          </w:p>
          <w:p w14:paraId="4C48A07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3.原料存在非法添加风险。</w:t>
            </w:r>
          </w:p>
        </w:tc>
        <w:tc>
          <w:tcPr>
            <w:tcW w:w="3402" w:type="dxa"/>
            <w:tcMar>
              <w:top w:w="17" w:type="dxa"/>
              <w:left w:w="57" w:type="dxa"/>
              <w:bottom w:w="17" w:type="dxa"/>
              <w:right w:w="57" w:type="dxa"/>
            </w:tcMar>
            <w:vAlign w:val="center"/>
          </w:tcPr>
          <w:p w14:paraId="5580186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1.采购的原物料和包装材料逐批查验产品合格证明，对无法提供合格证明的原料，按质量标准检验合格。根据原料验收标准，逐项确认检测结果与验收标准是否一致。</w:t>
            </w:r>
          </w:p>
          <w:p w14:paraId="62914F1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2.核查收货的食品原料、包材、食品添加剂的实物、文件、记录，应符合：</w:t>
            </w:r>
          </w:p>
          <w:p w14:paraId="125DB56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（1）收货的原料、食品添加剂具有与实物一致的合格证明文件。</w:t>
            </w:r>
          </w:p>
          <w:p w14:paraId="6BE0C18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（2）进口原料，具有入境检验检疫证明。</w:t>
            </w:r>
          </w:p>
          <w:p w14:paraId="169345A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3.加强原料管控：</w:t>
            </w:r>
          </w:p>
          <w:p w14:paraId="7F15677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（1）采购前与供应商确认原料的采购标准，并签订采购合同及质量保证协议。</w:t>
            </w:r>
          </w:p>
          <w:p w14:paraId="030244D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（2）对重点原料供应商定期现场审核，保证从正规供应商购买合格原料。</w:t>
            </w:r>
          </w:p>
        </w:tc>
        <w:tc>
          <w:tcPr>
            <w:tcW w:w="1077" w:type="dxa"/>
            <w:tcMar>
              <w:top w:w="17" w:type="dxa"/>
              <w:left w:w="57" w:type="dxa"/>
              <w:bottom w:w="17" w:type="dxa"/>
              <w:right w:w="57" w:type="dxa"/>
            </w:tcMar>
            <w:vAlign w:val="center"/>
          </w:tcPr>
          <w:p w14:paraId="0E94DA8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1-2：每批</w:t>
            </w:r>
          </w:p>
          <w:p w14:paraId="2020D06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3：定期</w:t>
            </w:r>
          </w:p>
        </w:tc>
        <w:tc>
          <w:tcPr>
            <w:tcW w:w="1644" w:type="dxa"/>
            <w:tcMar>
              <w:top w:w="17" w:type="dxa"/>
              <w:left w:w="57" w:type="dxa"/>
              <w:bottom w:w="17" w:type="dxa"/>
              <w:right w:w="57" w:type="dxa"/>
            </w:tcMar>
            <w:vAlign w:val="center"/>
          </w:tcPr>
          <w:p w14:paraId="22DC892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符合《特殊医学用途配方食品生产许可审查细则》、GB 29923、GB 14881和内控要求</w:t>
            </w:r>
          </w:p>
        </w:tc>
        <w:tc>
          <w:tcPr>
            <w:tcW w:w="680" w:type="dxa"/>
            <w:tcMar>
              <w:top w:w="17" w:type="dxa"/>
              <w:left w:w="57" w:type="dxa"/>
              <w:bottom w:w="17" w:type="dxa"/>
              <w:right w:w="57" w:type="dxa"/>
            </w:tcMar>
            <w:vAlign w:val="center"/>
          </w:tcPr>
          <w:p w14:paraId="423ED7C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7A18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624" w:type="dxa"/>
            <w:tcMar>
              <w:top w:w="17" w:type="dxa"/>
              <w:left w:w="57" w:type="dxa"/>
              <w:bottom w:w="17" w:type="dxa"/>
              <w:right w:w="57" w:type="dxa"/>
            </w:tcMar>
            <w:vAlign w:val="center"/>
          </w:tcPr>
          <w:p w14:paraId="7C0BD5C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407D270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2802特殊医学用途婴儿配方食品</w:t>
            </w:r>
          </w:p>
        </w:tc>
        <w:tc>
          <w:tcPr>
            <w:tcW w:w="624" w:type="dxa"/>
            <w:tcMar>
              <w:top w:w="17" w:type="dxa"/>
              <w:left w:w="57" w:type="dxa"/>
              <w:bottom w:w="17" w:type="dxa"/>
              <w:right w:w="57" w:type="dxa"/>
            </w:tcMar>
            <w:vAlign w:val="center"/>
          </w:tcPr>
          <w:p w14:paraId="1D283F7D">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3CD3AF3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原料</w:t>
            </w:r>
          </w:p>
          <w:p w14:paraId="4CCC2B3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风险</w:t>
            </w:r>
          </w:p>
        </w:tc>
        <w:tc>
          <w:tcPr>
            <w:tcW w:w="850" w:type="dxa"/>
            <w:tcMar>
              <w:top w:w="17" w:type="dxa"/>
              <w:left w:w="57" w:type="dxa"/>
              <w:bottom w:w="17" w:type="dxa"/>
              <w:right w:w="57" w:type="dxa"/>
            </w:tcMar>
            <w:vAlign w:val="center"/>
          </w:tcPr>
          <w:p w14:paraId="6DE7358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食品原料质量控制</w:t>
            </w:r>
          </w:p>
        </w:tc>
        <w:tc>
          <w:tcPr>
            <w:tcW w:w="2835" w:type="dxa"/>
            <w:tcMar>
              <w:top w:w="17" w:type="dxa"/>
              <w:left w:w="57" w:type="dxa"/>
              <w:bottom w:w="17" w:type="dxa"/>
              <w:right w:w="57" w:type="dxa"/>
            </w:tcMar>
            <w:vAlign w:val="center"/>
          </w:tcPr>
          <w:p w14:paraId="09556D7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1.使用危害婴儿营养与健康的物质，如：</w:t>
            </w:r>
          </w:p>
          <w:p w14:paraId="02B97FC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（1）原料或食品添加剂含有谷蛋白。</w:t>
            </w:r>
          </w:p>
          <w:p w14:paraId="20D74BE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（2）使用氢化油脂。</w:t>
            </w:r>
          </w:p>
          <w:p w14:paraId="54C21C1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snapToGrid w:val="0"/>
                <w:color w:val="000000" w:themeColor="text1"/>
                <w:spacing w:val="0"/>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（3）使</w:t>
            </w:r>
            <w:r>
              <w:rPr>
                <w:rFonts w:hint="eastAsia" w:ascii="Times New Roman" w:hAnsi="Times New Roman" w:eastAsia="仿宋_GB2312" w:cs="仿宋_GB2312"/>
                <w:snapToGrid w:val="0"/>
                <w:color w:val="000000" w:themeColor="text1"/>
                <w:spacing w:val="0"/>
                <w:sz w:val="24"/>
                <w14:textFill>
                  <w14:solidFill>
                    <w14:schemeClr w14:val="tx1"/>
                  </w14:solidFill>
                </w14:textFill>
              </w:rPr>
              <w:t>用经辐照处理过的原料。</w:t>
            </w:r>
          </w:p>
          <w:p w14:paraId="4F9F441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2.化学物料污染物风险识别不全，尤其是婴儿配方食品，导致产品中化学污染物超标的风险，如：氯酸盐、高氯酸盐、氯丙醇、壬基酚、双酚A等。</w:t>
            </w:r>
          </w:p>
        </w:tc>
        <w:tc>
          <w:tcPr>
            <w:tcW w:w="3402" w:type="dxa"/>
            <w:tcMar>
              <w:top w:w="17" w:type="dxa"/>
              <w:left w:w="57" w:type="dxa"/>
              <w:bottom w:w="17" w:type="dxa"/>
              <w:right w:w="57" w:type="dxa"/>
            </w:tcMar>
            <w:vAlign w:val="center"/>
          </w:tcPr>
          <w:p w14:paraId="3B7D763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1.定期监测原料和食品添加剂中谷蛋白含量。</w:t>
            </w:r>
          </w:p>
          <w:p w14:paraId="2321F93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2.开发原料或变更原料时，按要求确认原料不含氢化油脂或不经过辐照处理。</w:t>
            </w:r>
          </w:p>
          <w:p w14:paraId="2BA437A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3.确认定期回顾更新化学污染物风险信息，包括婴幼儿特殊要求监控的污染物，根据回顾结果及时更新内部监控计划。</w:t>
            </w:r>
          </w:p>
        </w:tc>
        <w:tc>
          <w:tcPr>
            <w:tcW w:w="1077" w:type="dxa"/>
            <w:tcMar>
              <w:top w:w="17" w:type="dxa"/>
              <w:left w:w="57" w:type="dxa"/>
              <w:bottom w:w="17" w:type="dxa"/>
              <w:right w:w="57" w:type="dxa"/>
            </w:tcMar>
            <w:vAlign w:val="center"/>
          </w:tcPr>
          <w:p w14:paraId="674113E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每月/定期</w:t>
            </w:r>
          </w:p>
        </w:tc>
        <w:tc>
          <w:tcPr>
            <w:tcW w:w="1644" w:type="dxa"/>
            <w:tcMar>
              <w:top w:w="17" w:type="dxa"/>
              <w:left w:w="57" w:type="dxa"/>
              <w:bottom w:w="17" w:type="dxa"/>
              <w:right w:w="57" w:type="dxa"/>
            </w:tcMar>
            <w:vAlign w:val="center"/>
          </w:tcPr>
          <w:p w14:paraId="226A14A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符合食品安全国家标准和内控要求</w:t>
            </w:r>
          </w:p>
        </w:tc>
        <w:tc>
          <w:tcPr>
            <w:tcW w:w="680" w:type="dxa"/>
            <w:tcMar>
              <w:top w:w="17" w:type="dxa"/>
              <w:left w:w="57" w:type="dxa"/>
              <w:bottom w:w="17" w:type="dxa"/>
              <w:right w:w="57" w:type="dxa"/>
            </w:tcMar>
            <w:vAlign w:val="center"/>
          </w:tcPr>
          <w:p w14:paraId="598322E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2306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624" w:type="dxa"/>
            <w:tcMar>
              <w:top w:w="17" w:type="dxa"/>
              <w:left w:w="57" w:type="dxa"/>
              <w:bottom w:w="17" w:type="dxa"/>
              <w:right w:w="57" w:type="dxa"/>
            </w:tcMar>
            <w:vAlign w:val="center"/>
          </w:tcPr>
          <w:p w14:paraId="723605D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E8D067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073A6FEB">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7491CD0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物料储存过程</w:t>
            </w:r>
          </w:p>
        </w:tc>
        <w:tc>
          <w:tcPr>
            <w:tcW w:w="850" w:type="dxa"/>
            <w:tcMar>
              <w:top w:w="17" w:type="dxa"/>
              <w:left w:w="57" w:type="dxa"/>
              <w:bottom w:w="17" w:type="dxa"/>
              <w:right w:w="57" w:type="dxa"/>
            </w:tcMar>
            <w:vAlign w:val="center"/>
          </w:tcPr>
          <w:p w14:paraId="19A6AC1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 xml:space="preserve">物料储存不当的风险 </w:t>
            </w:r>
          </w:p>
        </w:tc>
        <w:tc>
          <w:tcPr>
            <w:tcW w:w="2835" w:type="dxa"/>
            <w:tcMar>
              <w:top w:w="17" w:type="dxa"/>
              <w:left w:w="57" w:type="dxa"/>
              <w:bottom w:w="17" w:type="dxa"/>
              <w:right w:w="57" w:type="dxa"/>
            </w:tcMar>
            <w:vAlign w:val="center"/>
          </w:tcPr>
          <w:p w14:paraId="4DA6C2D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1.库存原物料、包装材料未严格按照储存货位管理，导致发货错误。</w:t>
            </w:r>
          </w:p>
          <w:p w14:paraId="398C7CF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2.过敏原物料与非过敏原物料交叉污染。</w:t>
            </w:r>
          </w:p>
          <w:p w14:paraId="352BAB8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w:t>
            </w:r>
            <w:r>
              <w:rPr>
                <w:rFonts w:hint="eastAsia" w:ascii="Times New Roman" w:hAnsi="Times New Roman" w:eastAsia="仿宋_GB2312"/>
                <w:color w:val="000000" w:themeColor="text1"/>
                <w:sz w:val="24"/>
                <w14:textFill>
                  <w14:solidFill>
                    <w14:schemeClr w14:val="tx1"/>
                  </w14:solidFill>
                </w14:textFill>
              </w:rPr>
              <w:t xml:space="preserve"> </w:t>
            </w:r>
            <w:r>
              <w:rPr>
                <w:rFonts w:hint="eastAsia" w:ascii="Times New Roman" w:hAnsi="Times New Roman" w:eastAsia="仿宋_GB2312" w:cs="仿宋_GB2312"/>
                <w:color w:val="000000" w:themeColor="text1"/>
                <w:sz w:val="24"/>
                <w14:textFill>
                  <w14:solidFill>
                    <w14:schemeClr w14:val="tx1"/>
                  </w14:solidFill>
                </w14:textFill>
              </w:rPr>
              <w:t>原物料储存设施不能满足储存条件，引发物料存储过程中的质量风险。</w:t>
            </w:r>
            <w:r>
              <w:rPr>
                <w:rFonts w:hint="eastAsia" w:ascii="Times New Roman" w:hAnsi="Times New Roman" w:eastAsia="仿宋_GB2312" w:cs="仿宋_GB2312"/>
                <w:color w:val="000000" w:themeColor="text1"/>
                <w:sz w:val="24"/>
                <w14:textFill>
                  <w14:solidFill>
                    <w14:schemeClr w14:val="tx1"/>
                  </w14:solidFill>
                </w14:textFill>
              </w:rPr>
              <w:br w:type="page"/>
            </w:r>
          </w:p>
          <w:p w14:paraId="7503514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4.储存期间质量容易发生变化的原料，使用前未确认品质。</w:t>
            </w:r>
          </w:p>
        </w:tc>
        <w:tc>
          <w:tcPr>
            <w:tcW w:w="3402" w:type="dxa"/>
            <w:tcMar>
              <w:top w:w="17" w:type="dxa"/>
              <w:left w:w="57" w:type="dxa"/>
              <w:bottom w:w="17" w:type="dxa"/>
              <w:right w:w="57" w:type="dxa"/>
            </w:tcMar>
            <w:vAlign w:val="center"/>
          </w:tcPr>
          <w:p w14:paraId="7BE9728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1.入库存放的原物料、包装材料严格按照储存货位管理。</w:t>
            </w:r>
          </w:p>
          <w:p w14:paraId="75B1F47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2.建立过敏原和非过敏原物料清单。</w:t>
            </w:r>
          </w:p>
          <w:p w14:paraId="0F43EB6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3.过敏原与非过敏原物料应分开储存且正确标识。</w:t>
            </w:r>
          </w:p>
          <w:p w14:paraId="3BD5835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4.定期检查在收货、退库等操作是否按照物料的储存条件要求，进行正确存放。</w:t>
            </w:r>
          </w:p>
          <w:p w14:paraId="745A072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5.有特殊贮存温湿度要求的原物料，仓库应设有温、湿度控制设施，并定期检查和记录。</w:t>
            </w:r>
          </w:p>
          <w:p w14:paraId="5863AAA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br w:type="page"/>
            </w:r>
            <w:r>
              <w:rPr>
                <w:rFonts w:hint="eastAsia" w:ascii="Times New Roman" w:hAnsi="Times New Roman" w:eastAsia="仿宋_GB2312" w:cs="仿宋_GB2312"/>
                <w:color w:val="000000" w:themeColor="text1"/>
                <w:sz w:val="24"/>
                <w14:textFill>
                  <w14:solidFill>
                    <w14:schemeClr w14:val="tx1"/>
                  </w14:solidFill>
                </w14:textFill>
              </w:rPr>
              <w:t>6.检查温控设施，如：物料冷藏库、恒温库等设备设施运行良好。温湿度监控数据如有异常，应对其内物料的质量进行影响评估。</w:t>
            </w:r>
          </w:p>
          <w:p w14:paraId="469CFBD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7.抽查确认存储期间质量易发生变化的物料是否在使用前进行了确认。</w:t>
            </w:r>
          </w:p>
        </w:tc>
        <w:tc>
          <w:tcPr>
            <w:tcW w:w="1077" w:type="dxa"/>
            <w:tcMar>
              <w:top w:w="17" w:type="dxa"/>
              <w:left w:w="57" w:type="dxa"/>
              <w:bottom w:w="17" w:type="dxa"/>
              <w:right w:w="57" w:type="dxa"/>
            </w:tcMar>
            <w:vAlign w:val="center"/>
          </w:tcPr>
          <w:p w14:paraId="0FFC3E5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1、3：每日</w:t>
            </w:r>
          </w:p>
          <w:p w14:paraId="7729A91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2、4-7：定期</w:t>
            </w:r>
          </w:p>
        </w:tc>
        <w:tc>
          <w:tcPr>
            <w:tcW w:w="1644" w:type="dxa"/>
            <w:tcMar>
              <w:top w:w="17" w:type="dxa"/>
              <w:left w:w="57" w:type="dxa"/>
              <w:bottom w:w="17" w:type="dxa"/>
              <w:right w:w="57" w:type="dxa"/>
            </w:tcMar>
            <w:vAlign w:val="center"/>
          </w:tcPr>
          <w:p w14:paraId="3A4CC50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符合《特殊医学用途配方食品生产许可审查细则》、GB 29923、GB 14881和内控要求</w:t>
            </w:r>
          </w:p>
        </w:tc>
        <w:tc>
          <w:tcPr>
            <w:tcW w:w="680" w:type="dxa"/>
            <w:tcMar>
              <w:top w:w="17" w:type="dxa"/>
              <w:left w:w="57" w:type="dxa"/>
              <w:bottom w:w="17" w:type="dxa"/>
              <w:right w:w="57" w:type="dxa"/>
            </w:tcMar>
            <w:vAlign w:val="center"/>
          </w:tcPr>
          <w:p w14:paraId="31094A7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2444E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dxa"/>
            <w:tcMar>
              <w:top w:w="17" w:type="dxa"/>
              <w:left w:w="57" w:type="dxa"/>
              <w:bottom w:w="17" w:type="dxa"/>
              <w:right w:w="57" w:type="dxa"/>
            </w:tcMar>
            <w:vAlign w:val="center"/>
          </w:tcPr>
          <w:p w14:paraId="792D20E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33733B9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0A85D9E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633372D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物料领用过程</w:t>
            </w:r>
          </w:p>
        </w:tc>
        <w:tc>
          <w:tcPr>
            <w:tcW w:w="850" w:type="dxa"/>
            <w:tcMar>
              <w:top w:w="17" w:type="dxa"/>
              <w:left w:w="57" w:type="dxa"/>
              <w:bottom w:w="17" w:type="dxa"/>
              <w:right w:w="57" w:type="dxa"/>
            </w:tcMar>
            <w:vAlign w:val="center"/>
          </w:tcPr>
          <w:p w14:paraId="09A36A7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 xml:space="preserve">物料领用过程中差错和混淆的风险 </w:t>
            </w:r>
          </w:p>
        </w:tc>
        <w:tc>
          <w:tcPr>
            <w:tcW w:w="2835" w:type="dxa"/>
            <w:tcMar>
              <w:top w:w="17" w:type="dxa"/>
              <w:left w:w="57" w:type="dxa"/>
              <w:bottom w:w="17" w:type="dxa"/>
              <w:right w:w="57" w:type="dxa"/>
            </w:tcMar>
            <w:vAlign w:val="center"/>
          </w:tcPr>
          <w:p w14:paraId="48BF2EF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1.物料货位卡、标识卡设置不全、内容标识不全，物、卡、账不一致，导致差错和混淆。</w:t>
            </w:r>
          </w:p>
          <w:p w14:paraId="3544E51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2.物料出入库记录缺失、与领料单等资料不相符，出入库台账不健全或台账信息不完整。</w:t>
            </w:r>
          </w:p>
          <w:p w14:paraId="449E986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3.过期物料未有效识别，使用过期物料投料生产。</w:t>
            </w:r>
          </w:p>
          <w:p w14:paraId="0124D52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4.“近有效期先发”“先进先出”未落实。</w:t>
            </w:r>
          </w:p>
          <w:p w14:paraId="1A7C565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5.剩余物料未按规定退库，退库物料未密封，导致物料质量发生改变。</w:t>
            </w:r>
          </w:p>
        </w:tc>
        <w:tc>
          <w:tcPr>
            <w:tcW w:w="3402" w:type="dxa"/>
            <w:tcMar>
              <w:top w:w="17" w:type="dxa"/>
              <w:left w:w="57" w:type="dxa"/>
              <w:bottom w:w="17" w:type="dxa"/>
              <w:right w:w="57" w:type="dxa"/>
            </w:tcMar>
            <w:vAlign w:val="center"/>
          </w:tcPr>
          <w:p w14:paraId="1DC3CB2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1.物料台账、标识卡、货位卡应齐全完整，确保物、卡、账一致，并与实际相符。</w:t>
            </w:r>
          </w:p>
          <w:p w14:paraId="480349E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物料出入库记录应真实、完整，包括原物料和包装材料名称、规格、生产日期或者生产批号、出入库数量和时间、库存量、责任人等内容，原物料和包装材料出入库记录与其他资料相符，如：批生产记录领料单。</w:t>
            </w:r>
          </w:p>
          <w:p w14:paraId="5926AD8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3.定期检查系统中过期物料是否冻结或隔离。</w:t>
            </w:r>
          </w:p>
          <w:p w14:paraId="2243A76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4.物料采用“近有效期先发”“先进先出”的原则出库。</w:t>
            </w:r>
          </w:p>
          <w:p w14:paraId="41942D1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5.剩余物料按规定退库，退库物料进行密封，加贴退库标签。</w:t>
            </w:r>
          </w:p>
        </w:tc>
        <w:tc>
          <w:tcPr>
            <w:tcW w:w="1077" w:type="dxa"/>
            <w:tcMar>
              <w:top w:w="17" w:type="dxa"/>
              <w:left w:w="57" w:type="dxa"/>
              <w:bottom w:w="17" w:type="dxa"/>
              <w:right w:w="57" w:type="dxa"/>
            </w:tcMar>
            <w:vAlign w:val="center"/>
          </w:tcPr>
          <w:p w14:paraId="1054F1D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44" w:type="dxa"/>
            <w:tcMar>
              <w:top w:w="17" w:type="dxa"/>
              <w:left w:w="57" w:type="dxa"/>
              <w:bottom w:w="17" w:type="dxa"/>
              <w:right w:w="57" w:type="dxa"/>
            </w:tcMar>
            <w:vAlign w:val="center"/>
          </w:tcPr>
          <w:p w14:paraId="1661A9C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符合《特殊医学用途配方食品生产许可审查细则》、GB 14881和内控要求</w:t>
            </w:r>
          </w:p>
        </w:tc>
        <w:tc>
          <w:tcPr>
            <w:tcW w:w="680" w:type="dxa"/>
            <w:tcMar>
              <w:top w:w="17" w:type="dxa"/>
              <w:left w:w="57" w:type="dxa"/>
              <w:bottom w:w="17" w:type="dxa"/>
              <w:right w:w="57" w:type="dxa"/>
            </w:tcMar>
            <w:vAlign w:val="center"/>
          </w:tcPr>
          <w:p w14:paraId="2C7A29B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9533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3" w:hRule="atLeast"/>
          <w:jc w:val="center"/>
        </w:trPr>
        <w:tc>
          <w:tcPr>
            <w:tcW w:w="624" w:type="dxa"/>
            <w:tcMar>
              <w:top w:w="17" w:type="dxa"/>
              <w:left w:w="57" w:type="dxa"/>
              <w:bottom w:w="17" w:type="dxa"/>
              <w:right w:w="57" w:type="dxa"/>
            </w:tcMar>
            <w:vAlign w:val="center"/>
          </w:tcPr>
          <w:p w14:paraId="49B98B6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53F6B3A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7673156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65369D2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生产指令单下达</w:t>
            </w:r>
          </w:p>
        </w:tc>
        <w:tc>
          <w:tcPr>
            <w:tcW w:w="850" w:type="dxa"/>
            <w:tcMar>
              <w:top w:w="17" w:type="dxa"/>
              <w:left w:w="57" w:type="dxa"/>
              <w:bottom w:w="17" w:type="dxa"/>
              <w:right w:w="57" w:type="dxa"/>
            </w:tcMar>
            <w:vAlign w:val="center"/>
          </w:tcPr>
          <w:p w14:paraId="41A8663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错误下达生产指令单</w:t>
            </w:r>
          </w:p>
        </w:tc>
        <w:tc>
          <w:tcPr>
            <w:tcW w:w="2835" w:type="dxa"/>
            <w:tcMar>
              <w:top w:w="17" w:type="dxa"/>
              <w:left w:w="57" w:type="dxa"/>
              <w:bottom w:w="17" w:type="dxa"/>
              <w:right w:w="57" w:type="dxa"/>
            </w:tcMar>
            <w:vAlign w:val="center"/>
          </w:tcPr>
          <w:p w14:paraId="7F01F24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批生产指令中的原物料种类、用量与产品配方不一致，导致未按照注册的产品配方组织生产的情况。</w:t>
            </w:r>
          </w:p>
        </w:tc>
        <w:tc>
          <w:tcPr>
            <w:tcW w:w="3402" w:type="dxa"/>
            <w:tcMar>
              <w:top w:w="17" w:type="dxa"/>
              <w:left w:w="57" w:type="dxa"/>
              <w:bottom w:w="17" w:type="dxa"/>
              <w:right w:w="57" w:type="dxa"/>
            </w:tcMar>
            <w:vAlign w:val="center"/>
          </w:tcPr>
          <w:p w14:paraId="6D6B50F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确定批生产指令中的原物料及用量应与注册的产品配方一致，称量、投料记录中的原物料种类、数量与产品配方一致。</w:t>
            </w:r>
          </w:p>
        </w:tc>
        <w:tc>
          <w:tcPr>
            <w:tcW w:w="1077" w:type="dxa"/>
            <w:tcMar>
              <w:top w:w="17" w:type="dxa"/>
              <w:left w:w="57" w:type="dxa"/>
              <w:bottom w:w="17" w:type="dxa"/>
              <w:right w:w="57" w:type="dxa"/>
            </w:tcMar>
            <w:vAlign w:val="center"/>
          </w:tcPr>
          <w:p w14:paraId="4512E71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定期</w:t>
            </w:r>
          </w:p>
        </w:tc>
        <w:tc>
          <w:tcPr>
            <w:tcW w:w="1644" w:type="dxa"/>
            <w:tcMar>
              <w:top w:w="17" w:type="dxa"/>
              <w:left w:w="57" w:type="dxa"/>
              <w:bottom w:w="17" w:type="dxa"/>
              <w:right w:w="57" w:type="dxa"/>
            </w:tcMar>
            <w:vAlign w:val="center"/>
          </w:tcPr>
          <w:p w14:paraId="351A5F2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符合《特殊医学用途配方食品生产许可审查细则》、GB 29923以及注册的技术和内控要求</w:t>
            </w:r>
          </w:p>
        </w:tc>
        <w:tc>
          <w:tcPr>
            <w:tcW w:w="680" w:type="dxa"/>
            <w:tcMar>
              <w:top w:w="17" w:type="dxa"/>
              <w:left w:w="57" w:type="dxa"/>
              <w:bottom w:w="17" w:type="dxa"/>
              <w:right w:w="57" w:type="dxa"/>
            </w:tcMar>
            <w:vAlign w:val="center"/>
          </w:tcPr>
          <w:p w14:paraId="50170D8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59BE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4" w:hRule="atLeast"/>
          <w:jc w:val="center"/>
        </w:trPr>
        <w:tc>
          <w:tcPr>
            <w:tcW w:w="624" w:type="dxa"/>
            <w:tcMar>
              <w:top w:w="17" w:type="dxa"/>
              <w:left w:w="57" w:type="dxa"/>
              <w:bottom w:w="17" w:type="dxa"/>
              <w:right w:w="57" w:type="dxa"/>
            </w:tcMar>
            <w:vAlign w:val="center"/>
          </w:tcPr>
          <w:p w14:paraId="3A7F0908">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AABC2E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05BB465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14412C2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备料</w:t>
            </w:r>
          </w:p>
          <w:p w14:paraId="3F7139F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w:t>
            </w:r>
          </w:p>
        </w:tc>
        <w:tc>
          <w:tcPr>
            <w:tcW w:w="850" w:type="dxa"/>
            <w:tcMar>
              <w:top w:w="17" w:type="dxa"/>
              <w:left w:w="57" w:type="dxa"/>
              <w:bottom w:w="17" w:type="dxa"/>
              <w:right w:w="57" w:type="dxa"/>
            </w:tcMar>
            <w:vAlign w:val="center"/>
          </w:tcPr>
          <w:p w14:paraId="157E78D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仓库、备料区备料有误</w:t>
            </w:r>
          </w:p>
        </w:tc>
        <w:tc>
          <w:tcPr>
            <w:tcW w:w="2835" w:type="dxa"/>
            <w:tcMar>
              <w:top w:w="17" w:type="dxa"/>
              <w:left w:w="57" w:type="dxa"/>
              <w:bottom w:w="17" w:type="dxa"/>
              <w:right w:w="57" w:type="dxa"/>
            </w:tcMar>
            <w:vAlign w:val="center"/>
          </w:tcPr>
          <w:p w14:paraId="1EFE5BD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误选物料，导致物料错误使用。</w:t>
            </w:r>
          </w:p>
        </w:tc>
        <w:tc>
          <w:tcPr>
            <w:tcW w:w="3402" w:type="dxa"/>
            <w:tcMar>
              <w:top w:w="17" w:type="dxa"/>
              <w:left w:w="57" w:type="dxa"/>
              <w:bottom w:w="17" w:type="dxa"/>
              <w:right w:w="57" w:type="dxa"/>
            </w:tcMar>
            <w:vAlign w:val="center"/>
          </w:tcPr>
          <w:p w14:paraId="1B6347A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1.使用扫码追溯系统或双人复核，依据配料指令单，进行验收，确认合格状态，保证经系统或人工复核后，实际物料与配料指令单一致。</w:t>
            </w:r>
          </w:p>
          <w:p w14:paraId="70E3D30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2.检查确认物料标签信息、生产指令单完整清晰，并且与配方的配料单信息一致。</w:t>
            </w:r>
          </w:p>
          <w:p w14:paraId="09660D5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3.不得使用非食品原料、回收食品、食品添加剂以外的化学物质或者超过保质期的食品原料和食品添加剂生产食品。</w:t>
            </w:r>
          </w:p>
        </w:tc>
        <w:tc>
          <w:tcPr>
            <w:tcW w:w="1077" w:type="dxa"/>
            <w:tcMar>
              <w:top w:w="17" w:type="dxa"/>
              <w:left w:w="57" w:type="dxa"/>
              <w:bottom w:w="17" w:type="dxa"/>
              <w:right w:w="57" w:type="dxa"/>
            </w:tcMar>
            <w:vAlign w:val="center"/>
          </w:tcPr>
          <w:p w14:paraId="599527A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44" w:type="dxa"/>
            <w:tcMar>
              <w:top w:w="17" w:type="dxa"/>
              <w:left w:w="57" w:type="dxa"/>
              <w:bottom w:w="17" w:type="dxa"/>
              <w:right w:w="57" w:type="dxa"/>
            </w:tcMar>
            <w:vAlign w:val="center"/>
          </w:tcPr>
          <w:p w14:paraId="0CC837E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符合《食品安全法》、《特殊医学用途配方食品生产许可审查细则》、GB 29923和内控要求</w:t>
            </w:r>
          </w:p>
        </w:tc>
        <w:tc>
          <w:tcPr>
            <w:tcW w:w="680" w:type="dxa"/>
            <w:tcMar>
              <w:top w:w="17" w:type="dxa"/>
              <w:left w:w="57" w:type="dxa"/>
              <w:bottom w:w="17" w:type="dxa"/>
              <w:right w:w="57" w:type="dxa"/>
            </w:tcMar>
            <w:vAlign w:val="center"/>
          </w:tcPr>
          <w:p w14:paraId="4DC0CC4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333B6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624" w:type="dxa"/>
            <w:tcMar>
              <w:top w:w="17" w:type="dxa"/>
              <w:left w:w="57" w:type="dxa"/>
              <w:bottom w:w="17" w:type="dxa"/>
              <w:right w:w="57" w:type="dxa"/>
            </w:tcMar>
            <w:vAlign w:val="center"/>
          </w:tcPr>
          <w:p w14:paraId="78057972">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A01ADC6">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628B1A6D">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33BE6ED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备料</w:t>
            </w:r>
          </w:p>
          <w:p w14:paraId="00DEEEA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w:t>
            </w:r>
          </w:p>
        </w:tc>
        <w:tc>
          <w:tcPr>
            <w:tcW w:w="850" w:type="dxa"/>
            <w:tcMar>
              <w:top w:w="17" w:type="dxa"/>
              <w:left w:w="57" w:type="dxa"/>
              <w:bottom w:w="17" w:type="dxa"/>
              <w:right w:w="57" w:type="dxa"/>
            </w:tcMar>
            <w:vAlign w:val="center"/>
          </w:tcPr>
          <w:p w14:paraId="70E961F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仓库、备料区备料有误</w:t>
            </w:r>
          </w:p>
        </w:tc>
        <w:tc>
          <w:tcPr>
            <w:tcW w:w="2835" w:type="dxa"/>
            <w:tcMar>
              <w:top w:w="17" w:type="dxa"/>
              <w:left w:w="57" w:type="dxa"/>
              <w:bottom w:w="17" w:type="dxa"/>
              <w:right w:w="57" w:type="dxa"/>
            </w:tcMar>
            <w:vAlign w:val="center"/>
          </w:tcPr>
          <w:p w14:paraId="291BB47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将过期物料错误发货，用于生产的风险。</w:t>
            </w:r>
          </w:p>
        </w:tc>
        <w:tc>
          <w:tcPr>
            <w:tcW w:w="3402" w:type="dxa"/>
            <w:tcMar>
              <w:top w:w="17" w:type="dxa"/>
              <w:left w:w="57" w:type="dxa"/>
              <w:bottom w:w="17" w:type="dxa"/>
              <w:right w:w="57" w:type="dxa"/>
            </w:tcMar>
            <w:vAlign w:val="center"/>
          </w:tcPr>
          <w:p w14:paraId="7A48BD7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1.过期物料正确粘贴不合格品标识。</w:t>
            </w:r>
          </w:p>
          <w:p w14:paraId="4E4D31B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2.过期物料在不合格品区进行隔离受控存放。</w:t>
            </w:r>
          </w:p>
          <w:p w14:paraId="61F7D8C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3.识别过期物料的机制正确运行。</w:t>
            </w:r>
          </w:p>
        </w:tc>
        <w:tc>
          <w:tcPr>
            <w:tcW w:w="1077" w:type="dxa"/>
            <w:tcMar>
              <w:top w:w="17" w:type="dxa"/>
              <w:left w:w="57" w:type="dxa"/>
              <w:bottom w:w="17" w:type="dxa"/>
              <w:right w:w="57" w:type="dxa"/>
            </w:tcMar>
            <w:vAlign w:val="center"/>
          </w:tcPr>
          <w:p w14:paraId="22FCE59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每月</w:t>
            </w:r>
          </w:p>
        </w:tc>
        <w:tc>
          <w:tcPr>
            <w:tcW w:w="1644" w:type="dxa"/>
            <w:tcMar>
              <w:top w:w="17" w:type="dxa"/>
              <w:left w:w="57" w:type="dxa"/>
              <w:bottom w:w="17" w:type="dxa"/>
              <w:right w:w="57" w:type="dxa"/>
            </w:tcMar>
            <w:vAlign w:val="center"/>
          </w:tcPr>
          <w:p w14:paraId="07CCCFD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w:t>
            </w:r>
            <w:r>
              <w:rPr>
                <w:rFonts w:hint="eastAsia" w:ascii="Times New Roman" w:hAnsi="Times New Roman" w:eastAsia="仿宋_GB2312" w:cs="仿宋_GB2312"/>
                <w:color w:val="000000" w:themeColor="text1"/>
                <w:spacing w:val="-6"/>
                <w:sz w:val="24"/>
                <w14:textFill>
                  <w14:solidFill>
                    <w14:schemeClr w14:val="tx1"/>
                  </w14:solidFill>
                </w14:textFill>
              </w:rPr>
              <w:t>法》、《特殊医学用途配方食品生产许可审</w:t>
            </w:r>
            <w:r>
              <w:rPr>
                <w:rFonts w:hint="eastAsia" w:ascii="Times New Roman" w:hAnsi="Times New Roman" w:eastAsia="仿宋_GB2312" w:cs="仿宋_GB2312"/>
                <w:snapToGrid w:val="0"/>
                <w:color w:val="000000" w:themeColor="text1"/>
                <w:spacing w:val="-6"/>
                <w:sz w:val="24"/>
                <w14:textFill>
                  <w14:solidFill>
                    <w14:schemeClr w14:val="tx1"/>
                  </w14:solidFill>
                </w14:textFill>
              </w:rPr>
              <w:t>查细则》、GB 29923</w:t>
            </w:r>
            <w:r>
              <w:rPr>
                <w:rFonts w:hint="eastAsia" w:ascii="Times New Roman" w:hAnsi="Times New Roman" w:eastAsia="仿宋_GB2312" w:cs="仿宋_GB2312"/>
                <w:color w:val="000000" w:themeColor="text1"/>
                <w:spacing w:val="-6"/>
                <w:sz w:val="24"/>
                <w14:textFill>
                  <w14:solidFill>
                    <w14:schemeClr w14:val="tx1"/>
                  </w14:solidFill>
                </w14:textFill>
              </w:rPr>
              <w:t>和内控要求</w:t>
            </w:r>
          </w:p>
        </w:tc>
        <w:tc>
          <w:tcPr>
            <w:tcW w:w="680" w:type="dxa"/>
            <w:tcMar>
              <w:top w:w="17" w:type="dxa"/>
              <w:left w:w="57" w:type="dxa"/>
              <w:bottom w:w="17" w:type="dxa"/>
              <w:right w:w="57" w:type="dxa"/>
            </w:tcMar>
            <w:vAlign w:val="center"/>
          </w:tcPr>
          <w:p w14:paraId="4D55D9E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2C05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2" w:hRule="atLeast"/>
          <w:jc w:val="center"/>
        </w:trPr>
        <w:tc>
          <w:tcPr>
            <w:tcW w:w="624" w:type="dxa"/>
            <w:tcMar>
              <w:top w:w="17" w:type="dxa"/>
              <w:left w:w="57" w:type="dxa"/>
              <w:bottom w:w="17" w:type="dxa"/>
              <w:right w:w="57" w:type="dxa"/>
            </w:tcMar>
            <w:vAlign w:val="center"/>
          </w:tcPr>
          <w:p w14:paraId="72E995F4">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25D733B8">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7951169">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78F3B92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0C9F208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5E2420F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 xml:space="preserve">物料脱包、清洁、储存的风险 </w:t>
            </w:r>
          </w:p>
        </w:tc>
        <w:tc>
          <w:tcPr>
            <w:tcW w:w="2835" w:type="dxa"/>
            <w:tcMar>
              <w:top w:w="17" w:type="dxa"/>
              <w:left w:w="57" w:type="dxa"/>
              <w:bottom w:w="17" w:type="dxa"/>
              <w:right w:w="57" w:type="dxa"/>
            </w:tcMar>
            <w:vAlign w:val="center"/>
          </w:tcPr>
          <w:p w14:paraId="6E03647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1.原物料、内包材未脱包、清洁而直接进入生产车间，导致污染风险。</w:t>
            </w:r>
          </w:p>
          <w:p w14:paraId="3B64459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2.脱包原物料、内包材以及半成品未做产品信息标识或标识的信息不全，导致差错和混淆风险。</w:t>
            </w:r>
          </w:p>
          <w:p w14:paraId="27E1FE3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3.脱包原物料、内包材以及半成品储存期限和条件不符合要求，导致质量异常。</w:t>
            </w:r>
          </w:p>
        </w:tc>
        <w:tc>
          <w:tcPr>
            <w:tcW w:w="3402" w:type="dxa"/>
            <w:tcMar>
              <w:top w:w="17" w:type="dxa"/>
              <w:left w:w="57" w:type="dxa"/>
              <w:bottom w:w="17" w:type="dxa"/>
              <w:right w:w="57" w:type="dxa"/>
            </w:tcMar>
            <w:vAlign w:val="center"/>
          </w:tcPr>
          <w:p w14:paraId="643FEF2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1.原料、内包材进入车间前经过脱包或采用其他清洁外包处理后进入生产车间。</w:t>
            </w:r>
          </w:p>
          <w:p w14:paraId="59967B1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2.核对</w:t>
            </w:r>
            <w:r>
              <w:rPr>
                <w:rFonts w:hint="eastAsia" w:ascii="Times New Roman" w:hAnsi="Times New Roman" w:eastAsia="仿宋_GB2312" w:cs="仿宋_GB2312"/>
                <w:color w:val="000000" w:themeColor="text1"/>
                <w:sz w:val="24"/>
                <w14:textFill>
                  <w14:solidFill>
                    <w14:schemeClr w14:val="tx1"/>
                  </w14:solidFill>
                </w14:textFill>
              </w:rPr>
              <w:t>脱包原物料、内包材以及半成品的</w:t>
            </w:r>
            <w:r>
              <w:rPr>
                <w:rFonts w:hint="eastAsia" w:ascii="Times New Roman" w:hAnsi="Times New Roman" w:eastAsia="仿宋_GB2312" w:cs="仿宋_GB2312"/>
                <w:color w:val="000000" w:themeColor="text1"/>
                <w:kern w:val="0"/>
                <w:sz w:val="24"/>
                <w:lang w:bidi="ar"/>
                <w14:textFill>
                  <w14:solidFill>
                    <w14:schemeClr w14:val="tx1"/>
                  </w14:solidFill>
                </w14:textFill>
              </w:rPr>
              <w:t>标识信息是否清晰完整，如：物料名称、批号，数量等信息。</w:t>
            </w:r>
          </w:p>
          <w:p w14:paraId="37DBE63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3.按照储存期限和条件进行储存，并在规定的时间内完成生产。</w:t>
            </w:r>
          </w:p>
          <w:p w14:paraId="39B7850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4.脱包原物料、内包材以及半成品，有专门区域分别存放，不存在交叉污染。</w:t>
            </w:r>
          </w:p>
          <w:p w14:paraId="78643F56">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5.使用电子复核系统或人工复核，一料一脱，换品种时清场。</w:t>
            </w:r>
          </w:p>
        </w:tc>
        <w:tc>
          <w:tcPr>
            <w:tcW w:w="1077" w:type="dxa"/>
            <w:tcMar>
              <w:top w:w="17" w:type="dxa"/>
              <w:left w:w="57" w:type="dxa"/>
              <w:bottom w:w="17" w:type="dxa"/>
              <w:right w:w="57" w:type="dxa"/>
            </w:tcMar>
            <w:vAlign w:val="center"/>
          </w:tcPr>
          <w:p w14:paraId="37E456E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44" w:type="dxa"/>
            <w:tcMar>
              <w:top w:w="17" w:type="dxa"/>
              <w:left w:w="57" w:type="dxa"/>
              <w:bottom w:w="17" w:type="dxa"/>
              <w:right w:w="57" w:type="dxa"/>
            </w:tcMar>
            <w:vAlign w:val="center"/>
          </w:tcPr>
          <w:p w14:paraId="503A446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232955C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7B9A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jc w:val="center"/>
        </w:trPr>
        <w:tc>
          <w:tcPr>
            <w:tcW w:w="624" w:type="dxa"/>
            <w:tcMar>
              <w:top w:w="17" w:type="dxa"/>
              <w:left w:w="57" w:type="dxa"/>
              <w:bottom w:w="17" w:type="dxa"/>
              <w:right w:w="57" w:type="dxa"/>
            </w:tcMar>
            <w:vAlign w:val="center"/>
          </w:tcPr>
          <w:p w14:paraId="49C84284">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4FDA45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28D07C1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4927A90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w:t>
            </w:r>
          </w:p>
          <w:p w14:paraId="6AEEBA2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7277C29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物料称量风险/清场</w:t>
            </w:r>
          </w:p>
        </w:tc>
        <w:tc>
          <w:tcPr>
            <w:tcW w:w="2835" w:type="dxa"/>
            <w:tcMar>
              <w:top w:w="17" w:type="dxa"/>
              <w:left w:w="57" w:type="dxa"/>
              <w:bottom w:w="17" w:type="dxa"/>
              <w:right w:w="57" w:type="dxa"/>
            </w:tcMar>
            <w:vAlign w:val="center"/>
          </w:tcPr>
          <w:p w14:paraId="0F6C781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过敏原物料称量工具与非过敏原物料混用。</w:t>
            </w:r>
          </w:p>
        </w:tc>
        <w:tc>
          <w:tcPr>
            <w:tcW w:w="3402" w:type="dxa"/>
            <w:tcMar>
              <w:top w:w="17" w:type="dxa"/>
              <w:left w:w="57" w:type="dxa"/>
              <w:bottom w:w="17" w:type="dxa"/>
              <w:right w:w="57" w:type="dxa"/>
            </w:tcMar>
            <w:vAlign w:val="center"/>
          </w:tcPr>
          <w:p w14:paraId="3E725D3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1.过敏原物料使用专用工具。</w:t>
            </w:r>
          </w:p>
          <w:p w14:paraId="40922AF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2.称量后及时清场。</w:t>
            </w:r>
          </w:p>
        </w:tc>
        <w:tc>
          <w:tcPr>
            <w:tcW w:w="1077" w:type="dxa"/>
            <w:tcMar>
              <w:top w:w="17" w:type="dxa"/>
              <w:left w:w="57" w:type="dxa"/>
              <w:bottom w:w="17" w:type="dxa"/>
              <w:right w:w="57" w:type="dxa"/>
            </w:tcMar>
            <w:vAlign w:val="center"/>
          </w:tcPr>
          <w:p w14:paraId="4C5FB9B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207AFEC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0AD1096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14D4F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jc w:val="center"/>
        </w:trPr>
        <w:tc>
          <w:tcPr>
            <w:tcW w:w="624" w:type="dxa"/>
            <w:tcMar>
              <w:top w:w="17" w:type="dxa"/>
              <w:left w:w="57" w:type="dxa"/>
              <w:bottom w:w="17" w:type="dxa"/>
              <w:right w:w="57" w:type="dxa"/>
            </w:tcMar>
            <w:vAlign w:val="center"/>
          </w:tcPr>
          <w:p w14:paraId="07938B9A">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4FDD271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3E3BA6F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54908A4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2627760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3D342A2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混料风险</w:t>
            </w:r>
          </w:p>
        </w:tc>
        <w:tc>
          <w:tcPr>
            <w:tcW w:w="2835" w:type="dxa"/>
            <w:tcMar>
              <w:top w:w="17" w:type="dxa"/>
              <w:left w:w="57" w:type="dxa"/>
              <w:bottom w:w="17" w:type="dxa"/>
              <w:right w:w="57" w:type="dxa"/>
            </w:tcMar>
            <w:vAlign w:val="center"/>
          </w:tcPr>
          <w:p w14:paraId="1857F0A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混料时间和加水量等工艺参数不符合工艺要求。</w:t>
            </w:r>
          </w:p>
        </w:tc>
        <w:tc>
          <w:tcPr>
            <w:tcW w:w="3402" w:type="dxa"/>
            <w:tcMar>
              <w:top w:w="17" w:type="dxa"/>
              <w:left w:w="57" w:type="dxa"/>
              <w:bottom w:w="17" w:type="dxa"/>
              <w:right w:w="57" w:type="dxa"/>
            </w:tcMar>
            <w:vAlign w:val="center"/>
          </w:tcPr>
          <w:p w14:paraId="35DE932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1.监控并记录混料时间和加水量等工艺参数，确保符合工艺要求。</w:t>
            </w:r>
          </w:p>
          <w:p w14:paraId="00FA866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2.核查当批半成品检测结果是否符合放行要求。</w:t>
            </w:r>
          </w:p>
        </w:tc>
        <w:tc>
          <w:tcPr>
            <w:tcW w:w="1077" w:type="dxa"/>
            <w:tcMar>
              <w:top w:w="17" w:type="dxa"/>
              <w:left w:w="57" w:type="dxa"/>
              <w:bottom w:w="17" w:type="dxa"/>
              <w:right w:w="57" w:type="dxa"/>
            </w:tcMar>
            <w:vAlign w:val="center"/>
          </w:tcPr>
          <w:p w14:paraId="263BC13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14E835A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4B29061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2003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0" w:hRule="atLeast"/>
          <w:jc w:val="center"/>
        </w:trPr>
        <w:tc>
          <w:tcPr>
            <w:tcW w:w="624" w:type="dxa"/>
            <w:tcMar>
              <w:top w:w="17" w:type="dxa"/>
              <w:left w:w="57" w:type="dxa"/>
              <w:bottom w:w="17" w:type="dxa"/>
              <w:right w:w="57" w:type="dxa"/>
            </w:tcMar>
            <w:vAlign w:val="center"/>
          </w:tcPr>
          <w:p w14:paraId="2224B31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06481FB9">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B8792F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10017C1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7A35466D">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08B78C0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混料风险</w:t>
            </w:r>
          </w:p>
        </w:tc>
        <w:tc>
          <w:tcPr>
            <w:tcW w:w="2835" w:type="dxa"/>
            <w:tcMar>
              <w:top w:w="17" w:type="dxa"/>
              <w:left w:w="57" w:type="dxa"/>
              <w:bottom w:w="17" w:type="dxa"/>
              <w:right w:w="57" w:type="dxa"/>
            </w:tcMar>
            <w:vAlign w:val="center"/>
          </w:tcPr>
          <w:p w14:paraId="4F6E731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干法工艺物料未混合均匀、有结块、有色差等。</w:t>
            </w:r>
          </w:p>
        </w:tc>
        <w:tc>
          <w:tcPr>
            <w:tcW w:w="3402" w:type="dxa"/>
            <w:tcMar>
              <w:top w:w="17" w:type="dxa"/>
              <w:left w:w="57" w:type="dxa"/>
              <w:bottom w:w="17" w:type="dxa"/>
              <w:right w:w="57" w:type="dxa"/>
            </w:tcMar>
            <w:vAlign w:val="center"/>
          </w:tcPr>
          <w:p w14:paraId="1C1B0EA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混料均匀，且重要元素检测合格，确认：</w:t>
            </w:r>
          </w:p>
          <w:p w14:paraId="2BF43E4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1.包装前目视化检查。</w:t>
            </w:r>
          </w:p>
          <w:p w14:paraId="2138A51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2.不同混料批次的重要元素批检。</w:t>
            </w:r>
          </w:p>
          <w:p w14:paraId="2534A0D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3.定期（如每年）对混合设备及混合参数有效性进行验证。</w:t>
            </w:r>
          </w:p>
        </w:tc>
        <w:tc>
          <w:tcPr>
            <w:tcW w:w="1077" w:type="dxa"/>
            <w:tcMar>
              <w:top w:w="17" w:type="dxa"/>
              <w:left w:w="57" w:type="dxa"/>
              <w:bottom w:w="17" w:type="dxa"/>
              <w:right w:w="57" w:type="dxa"/>
            </w:tcMar>
            <w:vAlign w:val="center"/>
          </w:tcPr>
          <w:p w14:paraId="14B20F7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1-2：每日</w:t>
            </w:r>
          </w:p>
          <w:p w14:paraId="11EC747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3：定期</w:t>
            </w:r>
          </w:p>
        </w:tc>
        <w:tc>
          <w:tcPr>
            <w:tcW w:w="1644" w:type="dxa"/>
            <w:tcMar>
              <w:top w:w="17" w:type="dxa"/>
              <w:left w:w="57" w:type="dxa"/>
              <w:bottom w:w="17" w:type="dxa"/>
              <w:right w:w="57" w:type="dxa"/>
            </w:tcMar>
            <w:vAlign w:val="center"/>
          </w:tcPr>
          <w:p w14:paraId="6E29A35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76A99F8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02F1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4" w:hRule="atLeast"/>
          <w:jc w:val="center"/>
        </w:trPr>
        <w:tc>
          <w:tcPr>
            <w:tcW w:w="624" w:type="dxa"/>
            <w:tcMar>
              <w:top w:w="17" w:type="dxa"/>
              <w:left w:w="57" w:type="dxa"/>
              <w:bottom w:w="17" w:type="dxa"/>
              <w:right w:w="57" w:type="dxa"/>
            </w:tcMar>
            <w:vAlign w:val="center"/>
          </w:tcPr>
          <w:p w14:paraId="6F080F4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30892BE">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4146F2A0">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18B8A91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投料</w:t>
            </w:r>
          </w:p>
          <w:p w14:paraId="616E73C0">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w:t>
            </w:r>
          </w:p>
        </w:tc>
        <w:tc>
          <w:tcPr>
            <w:tcW w:w="850" w:type="dxa"/>
            <w:tcMar>
              <w:top w:w="17" w:type="dxa"/>
              <w:left w:w="57" w:type="dxa"/>
              <w:bottom w:w="17" w:type="dxa"/>
              <w:right w:w="57" w:type="dxa"/>
            </w:tcMar>
            <w:vAlign w:val="center"/>
          </w:tcPr>
          <w:p w14:paraId="1BD43D1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物料称量/投料</w:t>
            </w:r>
          </w:p>
        </w:tc>
        <w:tc>
          <w:tcPr>
            <w:tcW w:w="2835" w:type="dxa"/>
            <w:tcMar>
              <w:top w:w="17" w:type="dxa"/>
              <w:left w:w="57" w:type="dxa"/>
              <w:bottom w:w="17" w:type="dxa"/>
              <w:right w:w="57" w:type="dxa"/>
            </w:tcMar>
            <w:vAlign w:val="center"/>
          </w:tcPr>
          <w:p w14:paraId="18F37DA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物料称量/投料不准确，不符合配方要求，导致产品质量异常。</w:t>
            </w:r>
          </w:p>
        </w:tc>
        <w:tc>
          <w:tcPr>
            <w:tcW w:w="3402" w:type="dxa"/>
            <w:tcMar>
              <w:top w:w="17" w:type="dxa"/>
              <w:left w:w="57" w:type="dxa"/>
              <w:bottom w:w="17" w:type="dxa"/>
              <w:right w:w="57" w:type="dxa"/>
            </w:tcMar>
            <w:vAlign w:val="center"/>
          </w:tcPr>
          <w:p w14:paraId="3545BE2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1.根据物料用量选择合适量程的称量秤，并对称量秤进行定期检定或校准。</w:t>
            </w:r>
          </w:p>
          <w:p w14:paraId="3EA9BAB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2.称量/投料记录应完整并经第二人复核或人机复核，包括配料名称、批号、称量数量、投料时间、操作人及复核人签名等。</w:t>
            </w:r>
          </w:p>
        </w:tc>
        <w:tc>
          <w:tcPr>
            <w:tcW w:w="1077" w:type="dxa"/>
            <w:tcMar>
              <w:top w:w="17" w:type="dxa"/>
              <w:left w:w="57" w:type="dxa"/>
              <w:bottom w:w="17" w:type="dxa"/>
              <w:right w:w="57" w:type="dxa"/>
            </w:tcMar>
            <w:vAlign w:val="center"/>
          </w:tcPr>
          <w:p w14:paraId="3014037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44" w:type="dxa"/>
            <w:tcMar>
              <w:top w:w="17" w:type="dxa"/>
              <w:left w:w="57" w:type="dxa"/>
              <w:bottom w:w="17" w:type="dxa"/>
              <w:right w:w="57" w:type="dxa"/>
            </w:tcMar>
            <w:vAlign w:val="center"/>
          </w:tcPr>
          <w:p w14:paraId="6B9743E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符合《特殊医学用途配方食品生产许可审查细则》、GB 29923以及注册的技术要求和内控要求</w:t>
            </w:r>
          </w:p>
        </w:tc>
        <w:tc>
          <w:tcPr>
            <w:tcW w:w="680" w:type="dxa"/>
            <w:tcMar>
              <w:top w:w="17" w:type="dxa"/>
              <w:left w:w="57" w:type="dxa"/>
              <w:bottom w:w="17" w:type="dxa"/>
              <w:right w:w="57" w:type="dxa"/>
            </w:tcMar>
            <w:vAlign w:val="center"/>
          </w:tcPr>
          <w:p w14:paraId="1D6644D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r>
      <w:tr w14:paraId="0DF46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2" w:hRule="atLeast"/>
          <w:jc w:val="center"/>
        </w:trPr>
        <w:tc>
          <w:tcPr>
            <w:tcW w:w="624" w:type="dxa"/>
            <w:tcMar>
              <w:top w:w="17" w:type="dxa"/>
              <w:left w:w="57" w:type="dxa"/>
              <w:bottom w:w="17" w:type="dxa"/>
              <w:right w:w="57" w:type="dxa"/>
            </w:tcMar>
            <w:vAlign w:val="center"/>
          </w:tcPr>
          <w:p w14:paraId="1166533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6B39A5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6E1049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05C0BF2F">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投料</w:t>
            </w:r>
          </w:p>
          <w:p w14:paraId="6BD5C16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w:t>
            </w:r>
          </w:p>
        </w:tc>
        <w:tc>
          <w:tcPr>
            <w:tcW w:w="850" w:type="dxa"/>
            <w:tcMar>
              <w:top w:w="17" w:type="dxa"/>
              <w:left w:w="57" w:type="dxa"/>
              <w:bottom w:w="17" w:type="dxa"/>
              <w:right w:w="57" w:type="dxa"/>
            </w:tcMar>
            <w:vAlign w:val="center"/>
          </w:tcPr>
          <w:p w14:paraId="725E850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投料过程引入异物</w:t>
            </w:r>
          </w:p>
        </w:tc>
        <w:tc>
          <w:tcPr>
            <w:tcW w:w="2835" w:type="dxa"/>
            <w:tcMar>
              <w:top w:w="17" w:type="dxa"/>
              <w:left w:w="57" w:type="dxa"/>
              <w:bottom w:w="17" w:type="dxa"/>
              <w:right w:w="57" w:type="dxa"/>
            </w:tcMar>
            <w:vAlign w:val="center"/>
          </w:tcPr>
          <w:p w14:paraId="4027E04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投料过程中引入异物（原料外包带入异物、包装碎片、工器具碎片）。</w:t>
            </w:r>
          </w:p>
        </w:tc>
        <w:tc>
          <w:tcPr>
            <w:tcW w:w="3402" w:type="dxa"/>
            <w:tcMar>
              <w:top w:w="17" w:type="dxa"/>
              <w:left w:w="57" w:type="dxa"/>
              <w:bottom w:w="17" w:type="dxa"/>
              <w:right w:w="57" w:type="dxa"/>
            </w:tcMar>
            <w:vAlign w:val="center"/>
          </w:tcPr>
          <w:p w14:paraId="49DC38B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1.投料前后检查工器具完整性。</w:t>
            </w:r>
          </w:p>
          <w:p w14:paraId="2A03E6B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2.生产结束后检查产线过滤器中是否有异物拦截，并调查根本原因和评估产品的风险。</w:t>
            </w:r>
          </w:p>
        </w:tc>
        <w:tc>
          <w:tcPr>
            <w:tcW w:w="1077" w:type="dxa"/>
            <w:tcMar>
              <w:top w:w="17" w:type="dxa"/>
              <w:left w:w="57" w:type="dxa"/>
              <w:bottom w:w="17" w:type="dxa"/>
              <w:right w:w="57" w:type="dxa"/>
            </w:tcMar>
            <w:vAlign w:val="center"/>
          </w:tcPr>
          <w:p w14:paraId="4CF088B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44" w:type="dxa"/>
            <w:tcMar>
              <w:top w:w="17" w:type="dxa"/>
              <w:left w:w="57" w:type="dxa"/>
              <w:bottom w:w="17" w:type="dxa"/>
              <w:right w:w="57" w:type="dxa"/>
            </w:tcMar>
            <w:vAlign w:val="center"/>
          </w:tcPr>
          <w:p w14:paraId="312A029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25736C7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p>
        </w:tc>
      </w:tr>
      <w:tr w14:paraId="535BB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2" w:hRule="atLeast"/>
          <w:jc w:val="center"/>
        </w:trPr>
        <w:tc>
          <w:tcPr>
            <w:tcW w:w="624" w:type="dxa"/>
            <w:tcMar>
              <w:top w:w="17" w:type="dxa"/>
              <w:left w:w="57" w:type="dxa"/>
              <w:bottom w:w="17" w:type="dxa"/>
              <w:right w:w="57" w:type="dxa"/>
            </w:tcMar>
            <w:vAlign w:val="center"/>
          </w:tcPr>
          <w:p w14:paraId="1D1F622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3D6419D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B8FD2F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492B26BD">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w:t>
            </w:r>
          </w:p>
          <w:p w14:paraId="49E4D74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w:t>
            </w:r>
          </w:p>
        </w:tc>
        <w:tc>
          <w:tcPr>
            <w:tcW w:w="850" w:type="dxa"/>
            <w:tcMar>
              <w:top w:w="17" w:type="dxa"/>
              <w:left w:w="57" w:type="dxa"/>
              <w:bottom w:w="17" w:type="dxa"/>
              <w:right w:w="57" w:type="dxa"/>
            </w:tcMar>
            <w:vAlign w:val="center"/>
          </w:tcPr>
          <w:p w14:paraId="2175F50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玻璃制品等易碎品污染的风险</w:t>
            </w:r>
          </w:p>
        </w:tc>
        <w:tc>
          <w:tcPr>
            <w:tcW w:w="2835" w:type="dxa"/>
            <w:tcMar>
              <w:top w:w="17" w:type="dxa"/>
              <w:left w:w="57" w:type="dxa"/>
              <w:bottom w:w="17" w:type="dxa"/>
              <w:right w:w="57" w:type="dxa"/>
            </w:tcMar>
            <w:vAlign w:val="center"/>
          </w:tcPr>
          <w:p w14:paraId="2A32C44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生产过程中</w:t>
            </w:r>
            <w:r>
              <w:rPr>
                <w:rFonts w:hint="eastAsia" w:ascii="Times New Roman" w:hAnsi="Times New Roman" w:eastAsia="仿宋_GB2312" w:cs="仿宋_GB2312"/>
                <w:color w:val="000000" w:themeColor="text1"/>
                <w:kern w:val="0"/>
                <w:sz w:val="24"/>
                <w:lang w:bidi="ar"/>
                <w14:textFill>
                  <w14:solidFill>
                    <w14:schemeClr w14:val="tx1"/>
                  </w14:solidFill>
                </w14:textFill>
              </w:rPr>
              <w:t>引入异物</w:t>
            </w:r>
            <w:r>
              <w:rPr>
                <w:rFonts w:hint="eastAsia" w:ascii="Times New Roman" w:hAnsi="Times New Roman" w:eastAsia="仿宋_GB2312" w:cs="仿宋_GB2312"/>
                <w:color w:val="000000" w:themeColor="text1"/>
                <w:sz w:val="24"/>
                <w14:textFill>
                  <w14:solidFill>
                    <w14:schemeClr w14:val="tx1"/>
                  </w14:solidFill>
                </w14:textFill>
              </w:rPr>
              <w:t>，如车间内玻璃制品等易碎品破损，管控缺失。</w:t>
            </w:r>
          </w:p>
        </w:tc>
        <w:tc>
          <w:tcPr>
            <w:tcW w:w="3402" w:type="dxa"/>
            <w:tcMar>
              <w:top w:w="17" w:type="dxa"/>
              <w:left w:w="57" w:type="dxa"/>
              <w:bottom w:w="17" w:type="dxa"/>
              <w:right w:w="57" w:type="dxa"/>
            </w:tcMar>
            <w:vAlign w:val="center"/>
          </w:tcPr>
          <w:p w14:paraId="4BBB8DE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1.生产区域尽量避免使用玻璃制品，如无法避免应进行贴膜保护，建立玻璃制品等易碎品清单，并定期点检。</w:t>
            </w:r>
          </w:p>
          <w:p w14:paraId="098984D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2.灯具应清洁无损坏，生产区域内暴露在食品正上方的灯均需有防爆措施。</w:t>
            </w:r>
          </w:p>
        </w:tc>
        <w:tc>
          <w:tcPr>
            <w:tcW w:w="1077" w:type="dxa"/>
            <w:tcMar>
              <w:top w:w="17" w:type="dxa"/>
              <w:left w:w="57" w:type="dxa"/>
              <w:bottom w:w="17" w:type="dxa"/>
              <w:right w:w="57" w:type="dxa"/>
            </w:tcMar>
            <w:vAlign w:val="center"/>
          </w:tcPr>
          <w:p w14:paraId="74F243F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定期</w:t>
            </w:r>
          </w:p>
        </w:tc>
        <w:tc>
          <w:tcPr>
            <w:tcW w:w="1644" w:type="dxa"/>
            <w:tcMar>
              <w:top w:w="17" w:type="dxa"/>
              <w:left w:w="57" w:type="dxa"/>
              <w:bottom w:w="17" w:type="dxa"/>
              <w:right w:w="57" w:type="dxa"/>
            </w:tcMar>
            <w:vAlign w:val="center"/>
          </w:tcPr>
          <w:p w14:paraId="3BE88A4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符合内控要求</w:t>
            </w:r>
          </w:p>
        </w:tc>
        <w:tc>
          <w:tcPr>
            <w:tcW w:w="680" w:type="dxa"/>
            <w:tcMar>
              <w:top w:w="17" w:type="dxa"/>
              <w:left w:w="57" w:type="dxa"/>
              <w:bottom w:w="17" w:type="dxa"/>
              <w:right w:w="57" w:type="dxa"/>
            </w:tcMar>
            <w:vAlign w:val="center"/>
          </w:tcPr>
          <w:p w14:paraId="6814F12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p>
        </w:tc>
      </w:tr>
      <w:tr w14:paraId="48289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624" w:type="dxa"/>
            <w:tcMar>
              <w:top w:w="17" w:type="dxa"/>
              <w:left w:w="57" w:type="dxa"/>
              <w:bottom w:w="17" w:type="dxa"/>
              <w:right w:w="57" w:type="dxa"/>
            </w:tcMar>
            <w:vAlign w:val="center"/>
          </w:tcPr>
          <w:p w14:paraId="212C7286">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3DC3F03C">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63680D99">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38AD57E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327FF88B">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251F8BE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巴氏杀菌</w:t>
            </w:r>
          </w:p>
        </w:tc>
        <w:tc>
          <w:tcPr>
            <w:tcW w:w="2835" w:type="dxa"/>
            <w:tcMar>
              <w:top w:w="17" w:type="dxa"/>
              <w:left w:w="57" w:type="dxa"/>
              <w:bottom w:w="17" w:type="dxa"/>
              <w:right w:w="57" w:type="dxa"/>
            </w:tcMar>
            <w:vAlign w:val="center"/>
          </w:tcPr>
          <w:p w14:paraId="53504B1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关键参数未达到要求，造成目标微生物超出标准，如：温度不够或流速过大导致致病菌未杀灭。</w:t>
            </w:r>
          </w:p>
        </w:tc>
        <w:tc>
          <w:tcPr>
            <w:tcW w:w="3402" w:type="dxa"/>
            <w:tcMar>
              <w:top w:w="17" w:type="dxa"/>
              <w:left w:w="57" w:type="dxa"/>
              <w:bottom w:w="17" w:type="dxa"/>
              <w:right w:w="57" w:type="dxa"/>
            </w:tcMar>
            <w:vAlign w:val="center"/>
          </w:tcPr>
          <w:p w14:paraId="6C4CD6B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持续监控关键参数，满足标准，如：控制持温管出口最低温度。</w:t>
            </w:r>
          </w:p>
        </w:tc>
        <w:tc>
          <w:tcPr>
            <w:tcW w:w="1077" w:type="dxa"/>
            <w:tcMar>
              <w:top w:w="17" w:type="dxa"/>
              <w:left w:w="57" w:type="dxa"/>
              <w:bottom w:w="17" w:type="dxa"/>
              <w:right w:w="57" w:type="dxa"/>
            </w:tcMar>
            <w:vAlign w:val="center"/>
          </w:tcPr>
          <w:p w14:paraId="0F9347C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07F603E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1A6FA36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745D4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624" w:type="dxa"/>
            <w:tcMar>
              <w:top w:w="17" w:type="dxa"/>
              <w:left w:w="57" w:type="dxa"/>
              <w:bottom w:w="17" w:type="dxa"/>
              <w:right w:w="57" w:type="dxa"/>
            </w:tcMar>
            <w:vAlign w:val="center"/>
          </w:tcPr>
          <w:p w14:paraId="7285ED63">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48CCF3E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3BADC26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249B63B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654E0CE9">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50F0766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中间储存</w:t>
            </w:r>
          </w:p>
        </w:tc>
        <w:tc>
          <w:tcPr>
            <w:tcW w:w="2835" w:type="dxa"/>
            <w:tcMar>
              <w:top w:w="17" w:type="dxa"/>
              <w:left w:w="57" w:type="dxa"/>
              <w:bottom w:w="17" w:type="dxa"/>
              <w:right w:w="57" w:type="dxa"/>
            </w:tcMar>
            <w:vAlign w:val="center"/>
          </w:tcPr>
          <w:p w14:paraId="33BD121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半成品储存时间和温度超出标准，微生物水平升高。</w:t>
            </w:r>
          </w:p>
        </w:tc>
        <w:tc>
          <w:tcPr>
            <w:tcW w:w="3402" w:type="dxa"/>
            <w:tcMar>
              <w:top w:w="17" w:type="dxa"/>
              <w:left w:w="57" w:type="dxa"/>
              <w:bottom w:w="17" w:type="dxa"/>
              <w:right w:w="57" w:type="dxa"/>
            </w:tcMar>
            <w:vAlign w:val="center"/>
          </w:tcPr>
          <w:p w14:paraId="3E10280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持续监控关键参数，满足标准，如：半成品储存时间和温度。</w:t>
            </w:r>
          </w:p>
        </w:tc>
        <w:tc>
          <w:tcPr>
            <w:tcW w:w="1077" w:type="dxa"/>
            <w:tcMar>
              <w:top w:w="17" w:type="dxa"/>
              <w:left w:w="57" w:type="dxa"/>
              <w:bottom w:w="17" w:type="dxa"/>
              <w:right w:w="57" w:type="dxa"/>
            </w:tcMar>
            <w:vAlign w:val="center"/>
          </w:tcPr>
          <w:p w14:paraId="634DF36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062E4D2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0BCF2D0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95F0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6" w:hRule="atLeast"/>
          <w:jc w:val="center"/>
        </w:trPr>
        <w:tc>
          <w:tcPr>
            <w:tcW w:w="624" w:type="dxa"/>
            <w:tcMar>
              <w:top w:w="17" w:type="dxa"/>
              <w:left w:w="57" w:type="dxa"/>
              <w:bottom w:w="17" w:type="dxa"/>
              <w:right w:w="57" w:type="dxa"/>
            </w:tcMar>
            <w:vAlign w:val="center"/>
          </w:tcPr>
          <w:p w14:paraId="23527E5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0F06F223">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48C1DDE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650F029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4D70CE5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3F5CA87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产线预灭菌</w:t>
            </w:r>
          </w:p>
        </w:tc>
        <w:tc>
          <w:tcPr>
            <w:tcW w:w="2835" w:type="dxa"/>
            <w:tcMar>
              <w:top w:w="17" w:type="dxa"/>
              <w:left w:w="57" w:type="dxa"/>
              <w:bottom w:w="17" w:type="dxa"/>
              <w:right w:w="57" w:type="dxa"/>
            </w:tcMar>
            <w:vAlign w:val="center"/>
          </w:tcPr>
          <w:p w14:paraId="54F9076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预灭菌参数偏离，导致预灭菌失败。</w:t>
            </w:r>
          </w:p>
        </w:tc>
        <w:tc>
          <w:tcPr>
            <w:tcW w:w="3402" w:type="dxa"/>
            <w:tcMar>
              <w:top w:w="17" w:type="dxa"/>
              <w:left w:w="57" w:type="dxa"/>
              <w:bottom w:w="17" w:type="dxa"/>
              <w:right w:w="57" w:type="dxa"/>
            </w:tcMar>
            <w:vAlign w:val="center"/>
          </w:tcPr>
          <w:p w14:paraId="374B21C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监控灭菌参数，如：温度和时间。</w:t>
            </w:r>
          </w:p>
        </w:tc>
        <w:tc>
          <w:tcPr>
            <w:tcW w:w="1077" w:type="dxa"/>
            <w:tcMar>
              <w:top w:w="17" w:type="dxa"/>
              <w:left w:w="57" w:type="dxa"/>
              <w:bottom w:w="17" w:type="dxa"/>
              <w:right w:w="57" w:type="dxa"/>
            </w:tcMar>
            <w:vAlign w:val="center"/>
          </w:tcPr>
          <w:p w14:paraId="7DD1805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2F4067F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1D62E7B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0EEA0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jc w:val="center"/>
        </w:trPr>
        <w:tc>
          <w:tcPr>
            <w:tcW w:w="624" w:type="dxa"/>
            <w:tcMar>
              <w:top w:w="17" w:type="dxa"/>
              <w:left w:w="57" w:type="dxa"/>
              <w:bottom w:w="17" w:type="dxa"/>
              <w:right w:w="57" w:type="dxa"/>
            </w:tcMar>
            <w:vAlign w:val="center"/>
          </w:tcPr>
          <w:p w14:paraId="28A04BD6">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774651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15A574E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55EAA12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0962FA2D">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0366F32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高温灭菌-超高温瞬时灭菌和灭菌釜灭菌</w:t>
            </w:r>
          </w:p>
        </w:tc>
        <w:tc>
          <w:tcPr>
            <w:tcW w:w="2835" w:type="dxa"/>
            <w:tcMar>
              <w:top w:w="17" w:type="dxa"/>
              <w:left w:w="57" w:type="dxa"/>
              <w:bottom w:w="17" w:type="dxa"/>
              <w:right w:w="57" w:type="dxa"/>
            </w:tcMar>
            <w:vAlign w:val="center"/>
          </w:tcPr>
          <w:p w14:paraId="6B652BC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高温灭菌参数未达到要求，造成液体产品商业无菌失败。</w:t>
            </w:r>
          </w:p>
        </w:tc>
        <w:tc>
          <w:tcPr>
            <w:tcW w:w="3402" w:type="dxa"/>
            <w:tcMar>
              <w:top w:w="17" w:type="dxa"/>
              <w:left w:w="57" w:type="dxa"/>
              <w:bottom w:w="17" w:type="dxa"/>
              <w:right w:w="57" w:type="dxa"/>
            </w:tcMar>
            <w:vAlign w:val="center"/>
          </w:tcPr>
          <w:p w14:paraId="03FD6D5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持续监控关键参数，如：高温灭菌温度、流速和背压参数。</w:t>
            </w:r>
          </w:p>
        </w:tc>
        <w:tc>
          <w:tcPr>
            <w:tcW w:w="1077" w:type="dxa"/>
            <w:tcMar>
              <w:top w:w="17" w:type="dxa"/>
              <w:left w:w="57" w:type="dxa"/>
              <w:bottom w:w="17" w:type="dxa"/>
              <w:right w:w="57" w:type="dxa"/>
            </w:tcMar>
            <w:vAlign w:val="center"/>
          </w:tcPr>
          <w:p w14:paraId="25C23B6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3A78219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0C4B410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C196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2" w:hRule="atLeast"/>
          <w:jc w:val="center"/>
        </w:trPr>
        <w:tc>
          <w:tcPr>
            <w:tcW w:w="624" w:type="dxa"/>
            <w:tcMar>
              <w:top w:w="17" w:type="dxa"/>
              <w:left w:w="57" w:type="dxa"/>
              <w:bottom w:w="17" w:type="dxa"/>
              <w:right w:w="57" w:type="dxa"/>
            </w:tcMar>
            <w:vAlign w:val="center"/>
          </w:tcPr>
          <w:p w14:paraId="4B506FAC">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2AD16733">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106B11F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200D9E3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7BD87D7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02E5A08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粉状产品配制/喷雾干燥/灌装</w:t>
            </w:r>
          </w:p>
        </w:tc>
        <w:tc>
          <w:tcPr>
            <w:tcW w:w="2835" w:type="dxa"/>
            <w:tcMar>
              <w:top w:w="17" w:type="dxa"/>
              <w:left w:w="57" w:type="dxa"/>
              <w:bottom w:w="17" w:type="dxa"/>
              <w:right w:w="57" w:type="dxa"/>
            </w:tcMar>
            <w:vAlign w:val="center"/>
          </w:tcPr>
          <w:p w14:paraId="5636F1A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1.半成品的微生物污染，造成灭菌前总菌数量高。</w:t>
            </w:r>
          </w:p>
          <w:p w14:paraId="436497A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2.环境微生物污染，引发指示菌或致病菌超标风险。</w:t>
            </w:r>
          </w:p>
          <w:p w14:paraId="68BDB66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3.巴氏灭菌或高温瞬时灭菌参数未达到要求，造成目标微生物未被杀灭。</w:t>
            </w:r>
          </w:p>
        </w:tc>
        <w:tc>
          <w:tcPr>
            <w:tcW w:w="3402" w:type="dxa"/>
            <w:tcMar>
              <w:top w:w="17" w:type="dxa"/>
              <w:left w:w="57" w:type="dxa"/>
              <w:bottom w:w="17" w:type="dxa"/>
              <w:right w:w="57" w:type="dxa"/>
            </w:tcMar>
            <w:vAlign w:val="center"/>
          </w:tcPr>
          <w:p w14:paraId="4F4E824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1.生产工艺过程关键参数监控。</w:t>
            </w:r>
          </w:p>
          <w:p w14:paraId="6994B2B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2.定期监控半成品的微生物水平。</w:t>
            </w:r>
          </w:p>
          <w:p w14:paraId="041B5C7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3.生产前对设备及环境进行微生物监控，分析微生物趋势，及时采取措施。</w:t>
            </w:r>
          </w:p>
        </w:tc>
        <w:tc>
          <w:tcPr>
            <w:tcW w:w="1077" w:type="dxa"/>
            <w:tcMar>
              <w:top w:w="17" w:type="dxa"/>
              <w:left w:w="57" w:type="dxa"/>
              <w:bottom w:w="17" w:type="dxa"/>
              <w:right w:w="57" w:type="dxa"/>
            </w:tcMar>
            <w:vAlign w:val="center"/>
          </w:tcPr>
          <w:p w14:paraId="768978F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每批</w:t>
            </w:r>
          </w:p>
        </w:tc>
        <w:tc>
          <w:tcPr>
            <w:tcW w:w="1644" w:type="dxa"/>
            <w:tcMar>
              <w:top w:w="17" w:type="dxa"/>
              <w:left w:w="57" w:type="dxa"/>
              <w:bottom w:w="17" w:type="dxa"/>
              <w:right w:w="57" w:type="dxa"/>
            </w:tcMar>
            <w:vAlign w:val="center"/>
          </w:tcPr>
          <w:p w14:paraId="4EFFD69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725A937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0EF2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6" w:hRule="atLeast"/>
          <w:jc w:val="center"/>
        </w:trPr>
        <w:tc>
          <w:tcPr>
            <w:tcW w:w="624" w:type="dxa"/>
            <w:tcMar>
              <w:top w:w="17" w:type="dxa"/>
              <w:left w:w="57" w:type="dxa"/>
              <w:bottom w:w="17" w:type="dxa"/>
              <w:right w:w="57" w:type="dxa"/>
            </w:tcMar>
            <w:vAlign w:val="center"/>
          </w:tcPr>
          <w:p w14:paraId="6EB6A65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59EAA43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10C5AF6F">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23AECF6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5B4776F0">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1D2CE3E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粉状产品喷雾干燥</w:t>
            </w:r>
          </w:p>
        </w:tc>
        <w:tc>
          <w:tcPr>
            <w:tcW w:w="2835" w:type="dxa"/>
            <w:tcMar>
              <w:top w:w="17" w:type="dxa"/>
              <w:left w:w="57" w:type="dxa"/>
              <w:bottom w:w="17" w:type="dxa"/>
              <w:right w:w="57" w:type="dxa"/>
            </w:tcMar>
            <w:vAlign w:val="center"/>
          </w:tcPr>
          <w:p w14:paraId="65B66D4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1.干燥风温度不够，造成水分达不到要求，影响货架期储存。</w:t>
            </w:r>
          </w:p>
          <w:p w14:paraId="06C5C7E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2.干燥风的过滤系统发生破损，引发风带入微生物污染产品的风险。</w:t>
            </w:r>
          </w:p>
        </w:tc>
        <w:tc>
          <w:tcPr>
            <w:tcW w:w="3402" w:type="dxa"/>
            <w:tcMar>
              <w:top w:w="17" w:type="dxa"/>
              <w:left w:w="57" w:type="dxa"/>
              <w:bottom w:w="17" w:type="dxa"/>
              <w:right w:w="57" w:type="dxa"/>
            </w:tcMar>
            <w:vAlign w:val="center"/>
          </w:tcPr>
          <w:p w14:paraId="0AD19BD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1.开机前和生产过程中检查干燥风温度。</w:t>
            </w:r>
          </w:p>
          <w:p w14:paraId="4C64FC0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2.当温度达不到要求时，调整温度控制，检测水分含量。</w:t>
            </w:r>
          </w:p>
          <w:p w14:paraId="2658A70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3.粉剂产品的水分含量符合标准。</w:t>
            </w:r>
          </w:p>
          <w:p w14:paraId="128D45E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4.生产前检查过滤器的压力。</w:t>
            </w:r>
          </w:p>
          <w:p w14:paraId="2446DED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5.定期维护和更换干燥塔进风过滤器，确保干燥风的高效过滤器状态良好。</w:t>
            </w:r>
          </w:p>
        </w:tc>
        <w:tc>
          <w:tcPr>
            <w:tcW w:w="1077" w:type="dxa"/>
            <w:tcMar>
              <w:top w:w="17" w:type="dxa"/>
              <w:left w:w="57" w:type="dxa"/>
              <w:bottom w:w="17" w:type="dxa"/>
              <w:right w:w="57" w:type="dxa"/>
            </w:tcMar>
            <w:vAlign w:val="center"/>
          </w:tcPr>
          <w:p w14:paraId="6F72590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1-4：每批</w:t>
            </w:r>
          </w:p>
          <w:p w14:paraId="59AFB27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 xml:space="preserve">5：定期 </w:t>
            </w:r>
          </w:p>
        </w:tc>
        <w:tc>
          <w:tcPr>
            <w:tcW w:w="1644" w:type="dxa"/>
            <w:tcMar>
              <w:top w:w="17" w:type="dxa"/>
              <w:left w:w="57" w:type="dxa"/>
              <w:bottom w:w="17" w:type="dxa"/>
              <w:right w:w="57" w:type="dxa"/>
            </w:tcMar>
            <w:vAlign w:val="center"/>
          </w:tcPr>
          <w:p w14:paraId="2A14309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5A161CB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015EF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44" w:hRule="atLeast"/>
          <w:jc w:val="center"/>
        </w:trPr>
        <w:tc>
          <w:tcPr>
            <w:tcW w:w="624" w:type="dxa"/>
            <w:tcMar>
              <w:top w:w="17" w:type="dxa"/>
              <w:left w:w="57" w:type="dxa"/>
              <w:bottom w:w="17" w:type="dxa"/>
              <w:right w:w="57" w:type="dxa"/>
            </w:tcMar>
            <w:vAlign w:val="center"/>
          </w:tcPr>
          <w:p w14:paraId="4D27E18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13E8E36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3E10A8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09E83EA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4540E5B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2791DBE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粉状产品喷雾干燥/灌装</w:t>
            </w:r>
          </w:p>
        </w:tc>
        <w:tc>
          <w:tcPr>
            <w:tcW w:w="2835" w:type="dxa"/>
            <w:tcMar>
              <w:top w:w="17" w:type="dxa"/>
              <w:left w:w="57" w:type="dxa"/>
              <w:bottom w:w="17" w:type="dxa"/>
              <w:right w:w="57" w:type="dxa"/>
            </w:tcMar>
            <w:vAlign w:val="center"/>
          </w:tcPr>
          <w:p w14:paraId="3F4880A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设备与设备之间硬摩擦，造成异物污染。</w:t>
            </w:r>
          </w:p>
        </w:tc>
        <w:tc>
          <w:tcPr>
            <w:tcW w:w="3402" w:type="dxa"/>
            <w:tcMar>
              <w:top w:w="17" w:type="dxa"/>
              <w:left w:w="57" w:type="dxa"/>
              <w:bottom w:w="17" w:type="dxa"/>
              <w:right w:w="57" w:type="dxa"/>
            </w:tcMar>
            <w:vAlign w:val="center"/>
          </w:tcPr>
          <w:p w14:paraId="4DE6B9E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1.干燥工艺中设置筛网，并定期检查筛网完整性，生产结束后检查筛网上是否存在异物。</w:t>
            </w:r>
          </w:p>
          <w:p w14:paraId="4D1AAC5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2.生产过程中检查杂质度，巡检设备运行情况。</w:t>
            </w:r>
          </w:p>
          <w:p w14:paraId="3966279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3.设备的定期预维修与定期保养。</w:t>
            </w:r>
          </w:p>
          <w:p w14:paraId="65F3C97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4.检查自动灌装机螺杆与设备内壁有无剐蹭。</w:t>
            </w:r>
          </w:p>
        </w:tc>
        <w:tc>
          <w:tcPr>
            <w:tcW w:w="1077" w:type="dxa"/>
            <w:tcMar>
              <w:top w:w="17" w:type="dxa"/>
              <w:left w:w="57" w:type="dxa"/>
              <w:bottom w:w="17" w:type="dxa"/>
              <w:right w:w="57" w:type="dxa"/>
            </w:tcMar>
            <w:vAlign w:val="center"/>
          </w:tcPr>
          <w:p w14:paraId="408A52B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1-2：每批</w:t>
            </w:r>
          </w:p>
          <w:p w14:paraId="6663C2E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3：定期</w:t>
            </w:r>
          </w:p>
          <w:p w14:paraId="0317905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4：每日</w:t>
            </w:r>
          </w:p>
        </w:tc>
        <w:tc>
          <w:tcPr>
            <w:tcW w:w="1644" w:type="dxa"/>
            <w:tcMar>
              <w:top w:w="17" w:type="dxa"/>
              <w:left w:w="57" w:type="dxa"/>
              <w:bottom w:w="17" w:type="dxa"/>
              <w:right w:w="57" w:type="dxa"/>
            </w:tcMar>
            <w:vAlign w:val="center"/>
          </w:tcPr>
          <w:p w14:paraId="4CEB190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7C8B168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7DE2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8" w:hRule="atLeast"/>
          <w:jc w:val="center"/>
        </w:trPr>
        <w:tc>
          <w:tcPr>
            <w:tcW w:w="624" w:type="dxa"/>
            <w:tcMar>
              <w:top w:w="17" w:type="dxa"/>
              <w:left w:w="57" w:type="dxa"/>
              <w:bottom w:w="17" w:type="dxa"/>
              <w:right w:w="57" w:type="dxa"/>
            </w:tcMar>
            <w:vAlign w:val="center"/>
          </w:tcPr>
          <w:p w14:paraId="23B3C9F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1FCA231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382E62A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1F2C6C6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60E70BD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3BEC1F2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产线最终过滤</w:t>
            </w:r>
          </w:p>
        </w:tc>
        <w:tc>
          <w:tcPr>
            <w:tcW w:w="2835" w:type="dxa"/>
            <w:tcMar>
              <w:top w:w="17" w:type="dxa"/>
              <w:left w:w="57" w:type="dxa"/>
              <w:bottom w:w="17" w:type="dxa"/>
              <w:right w:w="57" w:type="dxa"/>
            </w:tcMar>
            <w:vAlign w:val="center"/>
          </w:tcPr>
          <w:p w14:paraId="07A3A53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过滤器损坏带入异物，过滤器损坏造成上游异物进入下游。</w:t>
            </w:r>
          </w:p>
        </w:tc>
        <w:tc>
          <w:tcPr>
            <w:tcW w:w="3402" w:type="dxa"/>
            <w:tcMar>
              <w:top w:w="17" w:type="dxa"/>
              <w:left w:w="57" w:type="dxa"/>
              <w:bottom w:w="17" w:type="dxa"/>
              <w:right w:w="57" w:type="dxa"/>
            </w:tcMar>
            <w:vAlign w:val="center"/>
          </w:tcPr>
          <w:p w14:paraId="7B5A7E6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在线清洗（CIP）后查看过滤器完整性，过滤器完整。</w:t>
            </w:r>
          </w:p>
        </w:tc>
        <w:tc>
          <w:tcPr>
            <w:tcW w:w="1077" w:type="dxa"/>
            <w:tcMar>
              <w:top w:w="17" w:type="dxa"/>
              <w:left w:w="57" w:type="dxa"/>
              <w:bottom w:w="17" w:type="dxa"/>
              <w:right w:w="57" w:type="dxa"/>
            </w:tcMar>
            <w:vAlign w:val="center"/>
          </w:tcPr>
          <w:p w14:paraId="1A4FFCF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2785FF7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01A55C8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F366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7" w:hRule="atLeast"/>
          <w:jc w:val="center"/>
        </w:trPr>
        <w:tc>
          <w:tcPr>
            <w:tcW w:w="624" w:type="dxa"/>
            <w:tcMar>
              <w:top w:w="17" w:type="dxa"/>
              <w:left w:w="57" w:type="dxa"/>
              <w:bottom w:w="17" w:type="dxa"/>
              <w:right w:w="57" w:type="dxa"/>
            </w:tcMar>
            <w:vAlign w:val="center"/>
          </w:tcPr>
          <w:p w14:paraId="41E5CCD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5CFCD68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2FDDF1D0">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0EB93D89">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4D36595B">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40E6693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粉状产品喷雾干燥/灌装</w:t>
            </w:r>
          </w:p>
        </w:tc>
        <w:tc>
          <w:tcPr>
            <w:tcW w:w="2835" w:type="dxa"/>
            <w:tcMar>
              <w:top w:w="17" w:type="dxa"/>
              <w:left w:w="57" w:type="dxa"/>
              <w:bottom w:w="17" w:type="dxa"/>
              <w:right w:w="57" w:type="dxa"/>
            </w:tcMar>
            <w:vAlign w:val="center"/>
          </w:tcPr>
          <w:p w14:paraId="6B3F8E6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粉剂产品半成品储存时间过长，或包装密封不良，导致营养素损失。</w:t>
            </w:r>
          </w:p>
        </w:tc>
        <w:tc>
          <w:tcPr>
            <w:tcW w:w="3402" w:type="dxa"/>
            <w:tcMar>
              <w:top w:w="17" w:type="dxa"/>
              <w:left w:w="57" w:type="dxa"/>
              <w:bottom w:w="17" w:type="dxa"/>
              <w:right w:w="57" w:type="dxa"/>
            </w:tcMar>
            <w:vAlign w:val="center"/>
          </w:tcPr>
          <w:p w14:paraId="28CCD07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1.持续监控半成品储存条件。</w:t>
            </w:r>
          </w:p>
          <w:p w14:paraId="64C75E7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2.监控包装密封的效果，如检测残氧量，进行包装密封性测试。</w:t>
            </w:r>
          </w:p>
        </w:tc>
        <w:tc>
          <w:tcPr>
            <w:tcW w:w="1077" w:type="dxa"/>
            <w:tcMar>
              <w:top w:w="17" w:type="dxa"/>
              <w:left w:w="57" w:type="dxa"/>
              <w:bottom w:w="17" w:type="dxa"/>
              <w:right w:w="57" w:type="dxa"/>
            </w:tcMar>
            <w:vAlign w:val="center"/>
          </w:tcPr>
          <w:p w14:paraId="5E356EC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每批</w:t>
            </w:r>
          </w:p>
        </w:tc>
        <w:tc>
          <w:tcPr>
            <w:tcW w:w="1644" w:type="dxa"/>
            <w:tcMar>
              <w:top w:w="17" w:type="dxa"/>
              <w:left w:w="57" w:type="dxa"/>
              <w:bottom w:w="17" w:type="dxa"/>
              <w:right w:w="57" w:type="dxa"/>
            </w:tcMar>
            <w:vAlign w:val="center"/>
          </w:tcPr>
          <w:p w14:paraId="57D4520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13C7A56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7E74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8" w:hRule="atLeast"/>
          <w:jc w:val="center"/>
        </w:trPr>
        <w:tc>
          <w:tcPr>
            <w:tcW w:w="624" w:type="dxa"/>
            <w:tcMar>
              <w:top w:w="17" w:type="dxa"/>
              <w:left w:w="57" w:type="dxa"/>
              <w:bottom w:w="17" w:type="dxa"/>
              <w:right w:w="57" w:type="dxa"/>
            </w:tcMar>
            <w:vAlign w:val="center"/>
          </w:tcPr>
          <w:p w14:paraId="7B43C16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7F0A7A5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4054582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4B342150">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灌装</w:t>
            </w:r>
          </w:p>
          <w:p w14:paraId="148DEC0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62E0298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金属检测过程中金检仪未能正常工作</w:t>
            </w:r>
          </w:p>
        </w:tc>
        <w:tc>
          <w:tcPr>
            <w:tcW w:w="2835" w:type="dxa"/>
            <w:tcMar>
              <w:top w:w="17" w:type="dxa"/>
              <w:left w:w="57" w:type="dxa"/>
              <w:bottom w:w="17" w:type="dxa"/>
              <w:right w:w="57" w:type="dxa"/>
            </w:tcMar>
            <w:vAlign w:val="center"/>
          </w:tcPr>
          <w:p w14:paraId="0F4ACA5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金属检测仪不能有效识别含金属异物的产品并剔除。</w:t>
            </w:r>
          </w:p>
        </w:tc>
        <w:tc>
          <w:tcPr>
            <w:tcW w:w="3402" w:type="dxa"/>
            <w:tcMar>
              <w:top w:w="17" w:type="dxa"/>
              <w:left w:w="57" w:type="dxa"/>
              <w:bottom w:w="17" w:type="dxa"/>
              <w:right w:w="57" w:type="dxa"/>
            </w:tcMar>
            <w:vAlign w:val="center"/>
          </w:tcPr>
          <w:p w14:paraId="41FDFB9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1.定期确认检测设备的有效性，如:按标准执行挑战性测试。</w:t>
            </w:r>
          </w:p>
          <w:p w14:paraId="1108D34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2.定期确认检测剔除的样品为正确剔除还是误剔除，对于正确剔除的情形，应立即采取调查，风险产品按照规定进行评估、合理处置。</w:t>
            </w:r>
          </w:p>
        </w:tc>
        <w:tc>
          <w:tcPr>
            <w:tcW w:w="1077" w:type="dxa"/>
            <w:tcMar>
              <w:top w:w="17" w:type="dxa"/>
              <w:left w:w="57" w:type="dxa"/>
              <w:bottom w:w="17" w:type="dxa"/>
              <w:right w:w="57" w:type="dxa"/>
            </w:tcMar>
            <w:vAlign w:val="center"/>
          </w:tcPr>
          <w:p w14:paraId="4840E15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4F64A5A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2F09000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D84A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6" w:hRule="atLeast"/>
          <w:jc w:val="center"/>
        </w:trPr>
        <w:tc>
          <w:tcPr>
            <w:tcW w:w="624" w:type="dxa"/>
            <w:tcMar>
              <w:top w:w="17" w:type="dxa"/>
              <w:left w:w="57" w:type="dxa"/>
              <w:bottom w:w="17" w:type="dxa"/>
              <w:right w:w="57" w:type="dxa"/>
            </w:tcMar>
            <w:vAlign w:val="center"/>
          </w:tcPr>
          <w:p w14:paraId="6E50489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9F3EF6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6B5D8CF">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16F7FD1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灌装</w:t>
            </w:r>
          </w:p>
          <w:p w14:paraId="039B0F6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7C937A4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内包装材料异物去除</w:t>
            </w:r>
          </w:p>
        </w:tc>
        <w:tc>
          <w:tcPr>
            <w:tcW w:w="2835" w:type="dxa"/>
            <w:tcMar>
              <w:top w:w="17" w:type="dxa"/>
              <w:left w:w="57" w:type="dxa"/>
              <w:bottom w:w="17" w:type="dxa"/>
              <w:right w:w="57" w:type="dxa"/>
            </w:tcMar>
            <w:vAlign w:val="center"/>
          </w:tcPr>
          <w:p w14:paraId="7B26A36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瓶子等内包装材料带入异物，未有效去除。</w:t>
            </w:r>
          </w:p>
        </w:tc>
        <w:tc>
          <w:tcPr>
            <w:tcW w:w="3402" w:type="dxa"/>
            <w:tcMar>
              <w:top w:w="17" w:type="dxa"/>
              <w:left w:w="57" w:type="dxa"/>
              <w:bottom w:w="17" w:type="dxa"/>
              <w:right w:w="57" w:type="dxa"/>
            </w:tcMar>
            <w:vAlign w:val="center"/>
          </w:tcPr>
          <w:p w14:paraId="75985B7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采取适当的异物去除措施，如：瓶子倒置，使用去离子风吹扫去除异物。</w:t>
            </w:r>
          </w:p>
        </w:tc>
        <w:tc>
          <w:tcPr>
            <w:tcW w:w="1077" w:type="dxa"/>
            <w:tcMar>
              <w:top w:w="17" w:type="dxa"/>
              <w:left w:w="57" w:type="dxa"/>
              <w:bottom w:w="17" w:type="dxa"/>
              <w:right w:w="57" w:type="dxa"/>
            </w:tcMar>
            <w:vAlign w:val="center"/>
          </w:tcPr>
          <w:p w14:paraId="0988AFB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20D7FAB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7649013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18D43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atLeast"/>
          <w:jc w:val="center"/>
        </w:trPr>
        <w:tc>
          <w:tcPr>
            <w:tcW w:w="624" w:type="dxa"/>
            <w:tcMar>
              <w:top w:w="17" w:type="dxa"/>
              <w:left w:w="57" w:type="dxa"/>
              <w:bottom w:w="17" w:type="dxa"/>
              <w:right w:w="57" w:type="dxa"/>
            </w:tcMar>
            <w:vAlign w:val="center"/>
          </w:tcPr>
          <w:p w14:paraId="41C93BE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3C2E31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322BB660">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4C5DDC7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灌装</w:t>
            </w:r>
          </w:p>
          <w:p w14:paraId="2B1CA23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16F5A70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灌装-无菌灌装</w:t>
            </w:r>
          </w:p>
        </w:tc>
        <w:tc>
          <w:tcPr>
            <w:tcW w:w="2835" w:type="dxa"/>
            <w:tcMar>
              <w:top w:w="17" w:type="dxa"/>
              <w:left w:w="57" w:type="dxa"/>
              <w:bottom w:w="17" w:type="dxa"/>
              <w:right w:w="57" w:type="dxa"/>
            </w:tcMar>
            <w:vAlign w:val="center"/>
          </w:tcPr>
          <w:p w14:paraId="787FBDB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无菌灌装过程中产品密封不良。</w:t>
            </w:r>
          </w:p>
        </w:tc>
        <w:tc>
          <w:tcPr>
            <w:tcW w:w="3402" w:type="dxa"/>
            <w:tcMar>
              <w:top w:w="17" w:type="dxa"/>
              <w:left w:w="57" w:type="dxa"/>
              <w:bottom w:w="17" w:type="dxa"/>
              <w:right w:w="57" w:type="dxa"/>
            </w:tcMar>
            <w:vAlign w:val="center"/>
          </w:tcPr>
          <w:p w14:paraId="3B32644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持续监控封口温度和灌装腔体正压。</w:t>
            </w:r>
          </w:p>
        </w:tc>
        <w:tc>
          <w:tcPr>
            <w:tcW w:w="1077" w:type="dxa"/>
            <w:tcMar>
              <w:top w:w="17" w:type="dxa"/>
              <w:left w:w="57" w:type="dxa"/>
              <w:bottom w:w="17" w:type="dxa"/>
              <w:right w:w="57" w:type="dxa"/>
            </w:tcMar>
            <w:vAlign w:val="center"/>
          </w:tcPr>
          <w:p w14:paraId="114AEF6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3C1F718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1BEDBA0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1A0CF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5" w:hRule="atLeast"/>
          <w:jc w:val="center"/>
        </w:trPr>
        <w:tc>
          <w:tcPr>
            <w:tcW w:w="624" w:type="dxa"/>
            <w:tcMar>
              <w:top w:w="17" w:type="dxa"/>
              <w:left w:w="57" w:type="dxa"/>
              <w:bottom w:w="17" w:type="dxa"/>
              <w:right w:w="57" w:type="dxa"/>
            </w:tcMar>
            <w:vAlign w:val="center"/>
          </w:tcPr>
          <w:p w14:paraId="0391AF5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29399DE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376AED4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224C532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灌装</w:t>
            </w:r>
          </w:p>
          <w:p w14:paraId="7AE92CCD">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686AB4D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生产/灌装过程</w:t>
            </w:r>
          </w:p>
        </w:tc>
        <w:tc>
          <w:tcPr>
            <w:tcW w:w="2835" w:type="dxa"/>
            <w:tcMar>
              <w:top w:w="17" w:type="dxa"/>
              <w:left w:w="57" w:type="dxa"/>
              <w:bottom w:w="17" w:type="dxa"/>
              <w:right w:w="57" w:type="dxa"/>
            </w:tcMar>
            <w:vAlign w:val="center"/>
          </w:tcPr>
          <w:p w14:paraId="5FA8F83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密封性检测设备参数设置与标准偏离。检测设备失效导致潜在密封不良的样品流入下游。</w:t>
            </w:r>
          </w:p>
        </w:tc>
        <w:tc>
          <w:tcPr>
            <w:tcW w:w="3402" w:type="dxa"/>
            <w:tcMar>
              <w:top w:w="17" w:type="dxa"/>
              <w:left w:w="57" w:type="dxa"/>
              <w:bottom w:w="17" w:type="dxa"/>
              <w:right w:w="57" w:type="dxa"/>
            </w:tcMar>
            <w:vAlign w:val="center"/>
          </w:tcPr>
          <w:p w14:paraId="550AF24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1.定期检查设备参数设定，如:开机前。</w:t>
            </w:r>
          </w:p>
          <w:p w14:paraId="4E9E080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2.定期确认检测设备的有效性。</w:t>
            </w:r>
          </w:p>
          <w:p w14:paraId="0A3E29D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3.按照内控要求进行密封性检测。</w:t>
            </w:r>
          </w:p>
          <w:p w14:paraId="489D352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4.密封性设备参数设置与标准一致。</w:t>
            </w:r>
          </w:p>
          <w:p w14:paraId="6BB2805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5.密封性检测设备有效运行。</w:t>
            </w:r>
          </w:p>
        </w:tc>
        <w:tc>
          <w:tcPr>
            <w:tcW w:w="1077" w:type="dxa"/>
            <w:tcMar>
              <w:top w:w="17" w:type="dxa"/>
              <w:left w:w="57" w:type="dxa"/>
              <w:bottom w:w="17" w:type="dxa"/>
              <w:right w:w="57" w:type="dxa"/>
            </w:tcMar>
            <w:vAlign w:val="center"/>
          </w:tcPr>
          <w:p w14:paraId="32F2EA3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03122D4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464BBA7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DC1A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0" w:hRule="atLeast"/>
          <w:jc w:val="center"/>
        </w:trPr>
        <w:tc>
          <w:tcPr>
            <w:tcW w:w="624" w:type="dxa"/>
            <w:tcMar>
              <w:top w:w="17" w:type="dxa"/>
              <w:left w:w="57" w:type="dxa"/>
              <w:bottom w:w="17" w:type="dxa"/>
              <w:right w:w="57" w:type="dxa"/>
            </w:tcMar>
            <w:vAlign w:val="center"/>
          </w:tcPr>
          <w:p w14:paraId="5643AF8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4E7B2D6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3ACF198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69C1DAB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灌装</w:t>
            </w:r>
          </w:p>
          <w:p w14:paraId="016C0AE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4F6DD11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瓶和封口膜灭菌</w:t>
            </w:r>
          </w:p>
        </w:tc>
        <w:tc>
          <w:tcPr>
            <w:tcW w:w="2835" w:type="dxa"/>
            <w:tcMar>
              <w:top w:w="17" w:type="dxa"/>
              <w:left w:w="57" w:type="dxa"/>
              <w:bottom w:w="17" w:type="dxa"/>
              <w:right w:w="57" w:type="dxa"/>
            </w:tcMar>
            <w:vAlign w:val="center"/>
          </w:tcPr>
          <w:p w14:paraId="55C333B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瓶和封口膜灭菌不彻底。</w:t>
            </w:r>
          </w:p>
        </w:tc>
        <w:tc>
          <w:tcPr>
            <w:tcW w:w="3402" w:type="dxa"/>
            <w:tcMar>
              <w:top w:w="17" w:type="dxa"/>
              <w:left w:w="57" w:type="dxa"/>
              <w:bottom w:w="17" w:type="dxa"/>
              <w:right w:w="57" w:type="dxa"/>
            </w:tcMar>
            <w:vAlign w:val="center"/>
          </w:tcPr>
          <w:p w14:paraId="3CC1C4B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监控瓶和封口膜灭菌参数，如：双氧水浓度和温度。</w:t>
            </w:r>
          </w:p>
        </w:tc>
        <w:tc>
          <w:tcPr>
            <w:tcW w:w="1077" w:type="dxa"/>
            <w:tcMar>
              <w:top w:w="17" w:type="dxa"/>
              <w:left w:w="57" w:type="dxa"/>
              <w:bottom w:w="17" w:type="dxa"/>
              <w:right w:w="57" w:type="dxa"/>
            </w:tcMar>
            <w:vAlign w:val="center"/>
          </w:tcPr>
          <w:p w14:paraId="220BD58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541E72E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112467D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1EF0E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4" w:hRule="atLeast"/>
          <w:jc w:val="center"/>
        </w:trPr>
        <w:tc>
          <w:tcPr>
            <w:tcW w:w="624" w:type="dxa"/>
            <w:tcMar>
              <w:top w:w="17" w:type="dxa"/>
              <w:left w:w="57" w:type="dxa"/>
              <w:bottom w:w="17" w:type="dxa"/>
              <w:right w:w="57" w:type="dxa"/>
            </w:tcMar>
            <w:vAlign w:val="center"/>
          </w:tcPr>
          <w:p w14:paraId="0FFA735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668A23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7844AC0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056EEC6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灌装</w:t>
            </w:r>
          </w:p>
          <w:p w14:paraId="53A361F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336C406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无菌罐缓存</w:t>
            </w:r>
          </w:p>
        </w:tc>
        <w:tc>
          <w:tcPr>
            <w:tcW w:w="2835" w:type="dxa"/>
            <w:tcMar>
              <w:top w:w="17" w:type="dxa"/>
              <w:left w:w="57" w:type="dxa"/>
              <w:bottom w:w="17" w:type="dxa"/>
              <w:right w:w="57" w:type="dxa"/>
            </w:tcMar>
            <w:vAlign w:val="center"/>
          </w:tcPr>
          <w:p w14:paraId="421D128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无菌罐外界环境空气等进入造成污染。</w:t>
            </w:r>
          </w:p>
        </w:tc>
        <w:tc>
          <w:tcPr>
            <w:tcW w:w="3402" w:type="dxa"/>
            <w:tcMar>
              <w:top w:w="17" w:type="dxa"/>
              <w:left w:w="57" w:type="dxa"/>
              <w:bottom w:w="17" w:type="dxa"/>
              <w:right w:w="57" w:type="dxa"/>
            </w:tcMar>
            <w:vAlign w:val="center"/>
          </w:tcPr>
          <w:p w14:paraId="5CB9E3A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1.持续监控关键控制步骤及控制点，如：无菌罐氮气正压。</w:t>
            </w:r>
          </w:p>
          <w:p w14:paraId="35567FB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2.无菌过滤器的使用次数。</w:t>
            </w:r>
          </w:p>
        </w:tc>
        <w:tc>
          <w:tcPr>
            <w:tcW w:w="1077" w:type="dxa"/>
            <w:tcMar>
              <w:top w:w="17" w:type="dxa"/>
              <w:left w:w="57" w:type="dxa"/>
              <w:bottom w:w="17" w:type="dxa"/>
              <w:right w:w="57" w:type="dxa"/>
            </w:tcMar>
            <w:vAlign w:val="center"/>
          </w:tcPr>
          <w:p w14:paraId="70AA124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44DC48E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178F9EC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79380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0" w:hRule="atLeast"/>
          <w:jc w:val="center"/>
        </w:trPr>
        <w:tc>
          <w:tcPr>
            <w:tcW w:w="624" w:type="dxa"/>
            <w:tcMar>
              <w:top w:w="17" w:type="dxa"/>
              <w:left w:w="57" w:type="dxa"/>
              <w:bottom w:w="17" w:type="dxa"/>
              <w:right w:w="57" w:type="dxa"/>
            </w:tcMar>
            <w:vAlign w:val="center"/>
          </w:tcPr>
          <w:p w14:paraId="4B60276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5688A0D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89B9A1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77AA159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灌装</w:t>
            </w:r>
          </w:p>
          <w:p w14:paraId="35ADB8B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w:t>
            </w:r>
          </w:p>
        </w:tc>
        <w:tc>
          <w:tcPr>
            <w:tcW w:w="850" w:type="dxa"/>
            <w:tcMar>
              <w:top w:w="17" w:type="dxa"/>
              <w:left w:w="57" w:type="dxa"/>
              <w:bottom w:w="17" w:type="dxa"/>
              <w:right w:w="57" w:type="dxa"/>
            </w:tcMar>
            <w:vAlign w:val="center"/>
          </w:tcPr>
          <w:p w14:paraId="4D20A36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无菌灌装过程控制不到位使产品达不到商业无菌要求</w:t>
            </w:r>
          </w:p>
        </w:tc>
        <w:tc>
          <w:tcPr>
            <w:tcW w:w="2835" w:type="dxa"/>
            <w:tcMar>
              <w:top w:w="17" w:type="dxa"/>
              <w:left w:w="57" w:type="dxa"/>
              <w:bottom w:w="17" w:type="dxa"/>
              <w:right w:w="57" w:type="dxa"/>
            </w:tcMar>
            <w:vAlign w:val="center"/>
          </w:tcPr>
          <w:p w14:paraId="69DFE9A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1.无菌灌装机设备灭菌不成功，导致灌装机无法实现无菌灌装设备前提条件要求。</w:t>
            </w:r>
          </w:p>
          <w:p w14:paraId="02A8376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2.灌装过程中，无菌灌装仓环境被破坏，不能有效保证灌装过程中的无菌性。</w:t>
            </w:r>
          </w:p>
          <w:p w14:paraId="4D8AB8D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w:t>
            </w:r>
            <w:r>
              <w:rPr>
                <w:rFonts w:hint="eastAsia" w:ascii="Times New Roman" w:hAnsi="Times New Roman" w:eastAsia="仿宋_GB2312" w:cs="仿宋_GB2312"/>
                <w:color w:val="000000" w:themeColor="text1"/>
                <w:kern w:val="0"/>
                <w:sz w:val="24"/>
                <w:lang w:bidi="ar"/>
                <w14:textFill>
                  <w14:solidFill>
                    <w14:schemeClr w14:val="tx1"/>
                  </w14:solidFill>
                </w14:textFill>
              </w:rPr>
              <w:t>灌装过程中无菌段管线阀门密封泄露，导致无菌失败风险</w:t>
            </w:r>
            <w:r>
              <w:rPr>
                <w:rFonts w:hint="eastAsia" w:ascii="Times New Roman" w:hAnsi="Times New Roman" w:eastAsia="仿宋_GB2312" w:cs="仿宋_GB2312"/>
                <w:color w:val="000000" w:themeColor="text1"/>
                <w:sz w:val="24"/>
                <w14:textFill>
                  <w14:solidFill>
                    <w14:schemeClr w14:val="tx1"/>
                  </w14:solidFill>
                </w14:textFill>
              </w:rPr>
              <w:t>。</w:t>
            </w:r>
          </w:p>
          <w:p w14:paraId="5E270FF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4.无菌灌装机灭菌后的无菌保持时间超限，已无法满足商业无菌灌装要求。</w:t>
            </w:r>
          </w:p>
        </w:tc>
        <w:tc>
          <w:tcPr>
            <w:tcW w:w="3402" w:type="dxa"/>
            <w:tcMar>
              <w:top w:w="17" w:type="dxa"/>
              <w:left w:w="57" w:type="dxa"/>
              <w:bottom w:w="17" w:type="dxa"/>
              <w:right w:w="57" w:type="dxa"/>
            </w:tcMar>
            <w:vAlign w:val="center"/>
          </w:tcPr>
          <w:p w14:paraId="4482759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1.监控无菌灌装机设备灭菌参数，针对灭菌用不同介质，如蒸汽、过热水、化学灭菌剂等需确保能达到灭菌的参数限值，确保生产前设备达到了灭菌要求。</w:t>
            </w:r>
          </w:p>
          <w:p w14:paraId="13BA58D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2.监控生产过程中无菌灌装仓环境参数，如压差值，确保空气的流向是从洁净区的高级别区流向低级别区。</w:t>
            </w:r>
          </w:p>
          <w:p w14:paraId="1DB437A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w:t>
            </w:r>
            <w:r>
              <w:rPr>
                <w:rFonts w:hint="eastAsia" w:ascii="Times New Roman" w:hAnsi="Times New Roman" w:eastAsia="仿宋_GB2312" w:cs="仿宋_GB2312"/>
                <w:color w:val="000000" w:themeColor="text1"/>
                <w:kern w:val="0"/>
                <w:sz w:val="24"/>
                <w:lang w:bidi="ar"/>
                <w14:textFill>
                  <w14:solidFill>
                    <w14:schemeClr w14:val="tx1"/>
                  </w14:solidFill>
                </w14:textFill>
              </w:rPr>
              <w:t>每批生产前、生产过程中定期现场巡检无菌段管线的阀门的密封状态。</w:t>
            </w:r>
          </w:p>
          <w:p w14:paraId="27C43CA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4.当无菌条件被破坏时，设备自动切换成非无菌模式并停止灌装。</w:t>
            </w:r>
          </w:p>
          <w:p w14:paraId="24931F6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5.监控无菌灌装机持续运行时间，确保小于等于已验证的无菌保持时间。</w:t>
            </w:r>
          </w:p>
        </w:tc>
        <w:tc>
          <w:tcPr>
            <w:tcW w:w="1077" w:type="dxa"/>
            <w:tcMar>
              <w:top w:w="17" w:type="dxa"/>
              <w:left w:w="57" w:type="dxa"/>
              <w:bottom w:w="17" w:type="dxa"/>
              <w:right w:w="57" w:type="dxa"/>
            </w:tcMar>
            <w:vAlign w:val="center"/>
          </w:tcPr>
          <w:p w14:paraId="17EE758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每批次</w:t>
            </w:r>
          </w:p>
        </w:tc>
        <w:tc>
          <w:tcPr>
            <w:tcW w:w="1644" w:type="dxa"/>
            <w:tcMar>
              <w:top w:w="17" w:type="dxa"/>
              <w:left w:w="57" w:type="dxa"/>
              <w:bottom w:w="17" w:type="dxa"/>
              <w:right w:w="57" w:type="dxa"/>
            </w:tcMar>
            <w:vAlign w:val="center"/>
          </w:tcPr>
          <w:p w14:paraId="490FE24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530D82A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74EBC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1" w:hRule="atLeast"/>
          <w:jc w:val="center"/>
        </w:trPr>
        <w:tc>
          <w:tcPr>
            <w:tcW w:w="624" w:type="dxa"/>
            <w:tcMar>
              <w:top w:w="17" w:type="dxa"/>
              <w:left w:w="57" w:type="dxa"/>
              <w:bottom w:w="17" w:type="dxa"/>
              <w:right w:w="57" w:type="dxa"/>
            </w:tcMar>
            <w:vAlign w:val="center"/>
          </w:tcPr>
          <w:p w14:paraId="075D8FD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E03616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CDEEC7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34F690C5">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车间</w:t>
            </w:r>
          </w:p>
          <w:p w14:paraId="1DAD6F7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卫生</w:t>
            </w:r>
          </w:p>
        </w:tc>
        <w:tc>
          <w:tcPr>
            <w:tcW w:w="850" w:type="dxa"/>
            <w:tcMar>
              <w:top w:w="17" w:type="dxa"/>
              <w:left w:w="57" w:type="dxa"/>
              <w:bottom w:w="17" w:type="dxa"/>
              <w:right w:w="57" w:type="dxa"/>
            </w:tcMar>
            <w:vAlign w:val="center"/>
          </w:tcPr>
          <w:p w14:paraId="4C15C4E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清场</w:t>
            </w:r>
          </w:p>
        </w:tc>
        <w:tc>
          <w:tcPr>
            <w:tcW w:w="2835" w:type="dxa"/>
            <w:tcMar>
              <w:top w:w="17" w:type="dxa"/>
              <w:left w:w="57" w:type="dxa"/>
              <w:bottom w:w="17" w:type="dxa"/>
              <w:right w:w="57" w:type="dxa"/>
            </w:tcMar>
            <w:vAlign w:val="center"/>
          </w:tcPr>
          <w:p w14:paraId="7B2FF17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清场不彻底，清洁状态标识卡缺失、内容不完整、状态标识不正确，对产品造成污染。</w:t>
            </w:r>
          </w:p>
        </w:tc>
        <w:tc>
          <w:tcPr>
            <w:tcW w:w="3402" w:type="dxa"/>
            <w:tcMar>
              <w:top w:w="17" w:type="dxa"/>
              <w:left w:w="57" w:type="dxa"/>
              <w:bottom w:w="17" w:type="dxa"/>
              <w:right w:w="57" w:type="dxa"/>
            </w:tcMar>
            <w:vAlign w:val="center"/>
          </w:tcPr>
          <w:p w14:paraId="53CA4B0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1.每批产品生产结束按规定程序进行清场，生产用工具、容器、设备进行清洗清洁。</w:t>
            </w:r>
          </w:p>
          <w:p w14:paraId="1154779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2.生产操作间、生产设备和容器应有清洁状态标识。</w:t>
            </w:r>
          </w:p>
          <w:p w14:paraId="02E54FE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3.按照规程要求的清洁方法及频率进行清洁，确保清场有效。</w:t>
            </w:r>
          </w:p>
        </w:tc>
        <w:tc>
          <w:tcPr>
            <w:tcW w:w="1077" w:type="dxa"/>
            <w:tcMar>
              <w:top w:w="17" w:type="dxa"/>
              <w:left w:w="57" w:type="dxa"/>
              <w:bottom w:w="17" w:type="dxa"/>
              <w:right w:w="57" w:type="dxa"/>
            </w:tcMar>
            <w:vAlign w:val="center"/>
          </w:tcPr>
          <w:p w14:paraId="1721AE9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每批</w:t>
            </w:r>
          </w:p>
        </w:tc>
        <w:tc>
          <w:tcPr>
            <w:tcW w:w="1644" w:type="dxa"/>
            <w:tcMar>
              <w:top w:w="17" w:type="dxa"/>
              <w:left w:w="57" w:type="dxa"/>
              <w:bottom w:w="17" w:type="dxa"/>
              <w:right w:w="57" w:type="dxa"/>
            </w:tcMar>
            <w:vAlign w:val="center"/>
          </w:tcPr>
          <w:p w14:paraId="382D84C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符合《特殊医学用途配方食品生产许可审查细则》、GB 14881和内控要求</w:t>
            </w:r>
          </w:p>
        </w:tc>
        <w:tc>
          <w:tcPr>
            <w:tcW w:w="680" w:type="dxa"/>
            <w:tcMar>
              <w:top w:w="17" w:type="dxa"/>
              <w:left w:w="57" w:type="dxa"/>
              <w:bottom w:w="17" w:type="dxa"/>
              <w:right w:w="57" w:type="dxa"/>
            </w:tcMar>
            <w:vAlign w:val="center"/>
          </w:tcPr>
          <w:p w14:paraId="08905E7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73FBB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0" w:hRule="atLeast"/>
          <w:jc w:val="center"/>
        </w:trPr>
        <w:tc>
          <w:tcPr>
            <w:tcW w:w="624" w:type="dxa"/>
            <w:tcMar>
              <w:top w:w="17" w:type="dxa"/>
              <w:left w:w="57" w:type="dxa"/>
              <w:bottom w:w="17" w:type="dxa"/>
              <w:right w:w="57" w:type="dxa"/>
            </w:tcMar>
            <w:vAlign w:val="center"/>
          </w:tcPr>
          <w:p w14:paraId="25DDBEB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3B40883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2802特殊医学用途婴儿配方食品</w:t>
            </w:r>
          </w:p>
        </w:tc>
        <w:tc>
          <w:tcPr>
            <w:tcW w:w="624" w:type="dxa"/>
            <w:tcMar>
              <w:top w:w="17" w:type="dxa"/>
              <w:left w:w="57" w:type="dxa"/>
              <w:bottom w:w="17" w:type="dxa"/>
              <w:right w:w="57" w:type="dxa"/>
            </w:tcMar>
            <w:vAlign w:val="center"/>
          </w:tcPr>
          <w:p w14:paraId="009A44E0">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6C8C7B7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车间</w:t>
            </w:r>
          </w:p>
          <w:p w14:paraId="406C6F6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卫生</w:t>
            </w:r>
          </w:p>
        </w:tc>
        <w:tc>
          <w:tcPr>
            <w:tcW w:w="850" w:type="dxa"/>
            <w:tcMar>
              <w:top w:w="17" w:type="dxa"/>
              <w:left w:w="57" w:type="dxa"/>
              <w:bottom w:w="17" w:type="dxa"/>
              <w:right w:w="57" w:type="dxa"/>
            </w:tcMar>
            <w:vAlign w:val="center"/>
          </w:tcPr>
          <w:p w14:paraId="14D9128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清场</w:t>
            </w:r>
          </w:p>
        </w:tc>
        <w:tc>
          <w:tcPr>
            <w:tcW w:w="2835" w:type="dxa"/>
            <w:tcMar>
              <w:top w:w="17" w:type="dxa"/>
              <w:left w:w="57" w:type="dxa"/>
              <w:bottom w:w="17" w:type="dxa"/>
              <w:right w:w="57" w:type="dxa"/>
            </w:tcMar>
            <w:vAlign w:val="center"/>
          </w:tcPr>
          <w:p w14:paraId="4AAD0F8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在干区内采用了不合适的湿式清洁，导致致病菌污染。进行湿式清洁后，现场有水残留未及时处理。</w:t>
            </w:r>
          </w:p>
        </w:tc>
        <w:tc>
          <w:tcPr>
            <w:tcW w:w="3402" w:type="dxa"/>
            <w:tcMar>
              <w:top w:w="17" w:type="dxa"/>
              <w:left w:w="57" w:type="dxa"/>
              <w:bottom w:w="17" w:type="dxa"/>
              <w:right w:w="57" w:type="dxa"/>
            </w:tcMar>
            <w:vAlign w:val="center"/>
          </w:tcPr>
          <w:p w14:paraId="26BB5FF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1.确认是否按照标准规程进行清洁，如：干区内禁止进行湿清洁。</w:t>
            </w:r>
          </w:p>
          <w:p w14:paraId="1565281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2.进行湿清洁后，及时处理现场残留的水。</w:t>
            </w:r>
          </w:p>
          <w:p w14:paraId="31A684A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3.干区内环境持续保持干燥，不被致病菌污染。</w:t>
            </w:r>
          </w:p>
        </w:tc>
        <w:tc>
          <w:tcPr>
            <w:tcW w:w="1077" w:type="dxa"/>
            <w:tcMar>
              <w:top w:w="17" w:type="dxa"/>
              <w:left w:w="57" w:type="dxa"/>
              <w:bottom w:w="17" w:type="dxa"/>
              <w:right w:w="57" w:type="dxa"/>
            </w:tcMar>
            <w:vAlign w:val="center"/>
          </w:tcPr>
          <w:p w14:paraId="3104F65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70D7E07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符合《特殊医学用途配方食品生产许可审查细则》、GB 14881和内控要求</w:t>
            </w:r>
          </w:p>
        </w:tc>
        <w:tc>
          <w:tcPr>
            <w:tcW w:w="680" w:type="dxa"/>
            <w:tcMar>
              <w:top w:w="17" w:type="dxa"/>
              <w:left w:w="57" w:type="dxa"/>
              <w:bottom w:w="17" w:type="dxa"/>
              <w:right w:w="57" w:type="dxa"/>
            </w:tcMar>
            <w:vAlign w:val="center"/>
          </w:tcPr>
          <w:p w14:paraId="003A8D7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271FE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624" w:type="dxa"/>
            <w:tcMar>
              <w:top w:w="17" w:type="dxa"/>
              <w:left w:w="57" w:type="dxa"/>
              <w:bottom w:w="17" w:type="dxa"/>
              <w:right w:w="57" w:type="dxa"/>
            </w:tcMar>
            <w:vAlign w:val="center"/>
          </w:tcPr>
          <w:p w14:paraId="0BDBF42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746959C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08FEBA15">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5AB5419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清洁</w:t>
            </w:r>
          </w:p>
          <w:p w14:paraId="12E502A5">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消毒</w:t>
            </w:r>
          </w:p>
        </w:tc>
        <w:tc>
          <w:tcPr>
            <w:tcW w:w="850" w:type="dxa"/>
            <w:tcMar>
              <w:top w:w="17" w:type="dxa"/>
              <w:left w:w="57" w:type="dxa"/>
              <w:bottom w:w="17" w:type="dxa"/>
              <w:right w:w="57" w:type="dxa"/>
            </w:tcMar>
            <w:vAlign w:val="center"/>
          </w:tcPr>
          <w:p w14:paraId="42F2C70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清洁消毒不彻底、产生交叉污染</w:t>
            </w:r>
          </w:p>
        </w:tc>
        <w:tc>
          <w:tcPr>
            <w:tcW w:w="2835" w:type="dxa"/>
            <w:tcMar>
              <w:top w:w="17" w:type="dxa"/>
              <w:left w:w="57" w:type="dxa"/>
              <w:bottom w:w="17" w:type="dxa"/>
              <w:right w:w="57" w:type="dxa"/>
            </w:tcMar>
            <w:vAlign w:val="center"/>
          </w:tcPr>
          <w:p w14:paraId="106B83D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清洁消毒不彻底，相关环节污染产品。</w:t>
            </w:r>
          </w:p>
        </w:tc>
        <w:tc>
          <w:tcPr>
            <w:tcW w:w="3402" w:type="dxa"/>
            <w:tcMar>
              <w:top w:w="17" w:type="dxa"/>
              <w:left w:w="57" w:type="dxa"/>
              <w:bottom w:w="17" w:type="dxa"/>
              <w:right w:w="57" w:type="dxa"/>
            </w:tcMar>
            <w:vAlign w:val="center"/>
          </w:tcPr>
          <w:p w14:paraId="22EA6E8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1.臭氧消毒效果验证（如适用）。</w:t>
            </w:r>
          </w:p>
          <w:p w14:paraId="4CD0B2B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2.检查紫外灯有无损坏，用紫外线强度指示卡验证紫外线强度。</w:t>
            </w:r>
          </w:p>
          <w:p w14:paraId="58A5C0B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3.按管理制度要求清洁、消毒吸尘器。</w:t>
            </w:r>
          </w:p>
          <w:p w14:paraId="5119B09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4.清洁毛巾和非清洁毛巾分开放置，检查清洁毛巾材质。不同用途清洁毛巾用不同颜色区分且分开放置。</w:t>
            </w:r>
          </w:p>
        </w:tc>
        <w:tc>
          <w:tcPr>
            <w:tcW w:w="1077" w:type="dxa"/>
            <w:tcMar>
              <w:top w:w="17" w:type="dxa"/>
              <w:left w:w="57" w:type="dxa"/>
              <w:bottom w:w="17" w:type="dxa"/>
              <w:right w:w="57" w:type="dxa"/>
            </w:tcMar>
            <w:vAlign w:val="center"/>
          </w:tcPr>
          <w:p w14:paraId="7959445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定期/不定期</w:t>
            </w:r>
          </w:p>
        </w:tc>
        <w:tc>
          <w:tcPr>
            <w:tcW w:w="1644" w:type="dxa"/>
            <w:tcMar>
              <w:top w:w="17" w:type="dxa"/>
              <w:left w:w="57" w:type="dxa"/>
              <w:bottom w:w="17" w:type="dxa"/>
              <w:right w:w="57" w:type="dxa"/>
            </w:tcMar>
            <w:vAlign w:val="center"/>
          </w:tcPr>
          <w:p w14:paraId="4D2B529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60D8642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14AF8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jc w:val="center"/>
        </w:trPr>
        <w:tc>
          <w:tcPr>
            <w:tcW w:w="624" w:type="dxa"/>
            <w:tcMar>
              <w:top w:w="17" w:type="dxa"/>
              <w:left w:w="57" w:type="dxa"/>
              <w:bottom w:w="17" w:type="dxa"/>
              <w:right w:w="57" w:type="dxa"/>
            </w:tcMar>
            <w:vAlign w:val="center"/>
          </w:tcPr>
          <w:p w14:paraId="2F6C132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15545B8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4590E5B9">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7C65D735">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清洁</w:t>
            </w:r>
          </w:p>
          <w:p w14:paraId="640B9415">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消毒</w:t>
            </w:r>
          </w:p>
        </w:tc>
        <w:tc>
          <w:tcPr>
            <w:tcW w:w="850" w:type="dxa"/>
            <w:tcMar>
              <w:top w:w="17" w:type="dxa"/>
              <w:left w:w="57" w:type="dxa"/>
              <w:bottom w:w="17" w:type="dxa"/>
              <w:right w:w="57" w:type="dxa"/>
            </w:tcMar>
            <w:vAlign w:val="center"/>
          </w:tcPr>
          <w:p w14:paraId="5403177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未达到消毒效果或消毒剂残留造成化学污染</w:t>
            </w:r>
          </w:p>
        </w:tc>
        <w:tc>
          <w:tcPr>
            <w:tcW w:w="2835" w:type="dxa"/>
            <w:tcMar>
              <w:top w:w="17" w:type="dxa"/>
              <w:left w:w="57" w:type="dxa"/>
              <w:bottom w:w="17" w:type="dxa"/>
              <w:right w:w="57" w:type="dxa"/>
            </w:tcMar>
            <w:vAlign w:val="center"/>
          </w:tcPr>
          <w:p w14:paraId="07C0FBF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1.消毒剂种类、浓度、消毒时间选择不当，消毒效果不符合要求。</w:t>
            </w:r>
          </w:p>
          <w:p w14:paraId="03507F6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2.消毒剂残留带来化学污染。</w:t>
            </w:r>
          </w:p>
        </w:tc>
        <w:tc>
          <w:tcPr>
            <w:tcW w:w="3402" w:type="dxa"/>
            <w:tcMar>
              <w:top w:w="17" w:type="dxa"/>
              <w:left w:w="57" w:type="dxa"/>
              <w:bottom w:w="17" w:type="dxa"/>
              <w:right w:w="57" w:type="dxa"/>
            </w:tcMar>
            <w:vAlign w:val="center"/>
          </w:tcPr>
          <w:p w14:paraId="6D8F038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1.消毒剂消毒效果验证。</w:t>
            </w:r>
          </w:p>
          <w:p w14:paraId="1241F21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2.消毒剂化学残留验证。</w:t>
            </w:r>
          </w:p>
          <w:p w14:paraId="63C4EAF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3.消毒剂配制记录检查。</w:t>
            </w:r>
          </w:p>
        </w:tc>
        <w:tc>
          <w:tcPr>
            <w:tcW w:w="1077" w:type="dxa"/>
            <w:tcMar>
              <w:top w:w="17" w:type="dxa"/>
              <w:left w:w="57" w:type="dxa"/>
              <w:bottom w:w="17" w:type="dxa"/>
              <w:right w:w="57" w:type="dxa"/>
            </w:tcMar>
            <w:vAlign w:val="center"/>
          </w:tcPr>
          <w:p w14:paraId="4864081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定期/不定期</w:t>
            </w:r>
          </w:p>
        </w:tc>
        <w:tc>
          <w:tcPr>
            <w:tcW w:w="1644" w:type="dxa"/>
            <w:tcMar>
              <w:top w:w="17" w:type="dxa"/>
              <w:left w:w="57" w:type="dxa"/>
              <w:bottom w:w="17" w:type="dxa"/>
              <w:right w:w="57" w:type="dxa"/>
            </w:tcMar>
            <w:vAlign w:val="center"/>
          </w:tcPr>
          <w:p w14:paraId="7C6A4A1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符合标准和内控要求</w:t>
            </w:r>
          </w:p>
        </w:tc>
        <w:tc>
          <w:tcPr>
            <w:tcW w:w="680" w:type="dxa"/>
            <w:tcMar>
              <w:top w:w="17" w:type="dxa"/>
              <w:left w:w="57" w:type="dxa"/>
              <w:bottom w:w="17" w:type="dxa"/>
              <w:right w:w="57" w:type="dxa"/>
            </w:tcMar>
            <w:vAlign w:val="center"/>
          </w:tcPr>
          <w:p w14:paraId="1141EC3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2AE9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3" w:hRule="atLeast"/>
          <w:jc w:val="center"/>
        </w:trPr>
        <w:tc>
          <w:tcPr>
            <w:tcW w:w="624" w:type="dxa"/>
            <w:tcMar>
              <w:top w:w="17" w:type="dxa"/>
              <w:left w:w="57" w:type="dxa"/>
              <w:bottom w:w="17" w:type="dxa"/>
              <w:right w:w="57" w:type="dxa"/>
            </w:tcMar>
            <w:vAlign w:val="center"/>
          </w:tcPr>
          <w:p w14:paraId="41E7131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7AAA384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4B240E5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01EF4E95">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66013159">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67425F6D">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化学</w:t>
            </w:r>
          </w:p>
          <w:p w14:paraId="636EBE6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污染</w:t>
            </w:r>
          </w:p>
        </w:tc>
        <w:tc>
          <w:tcPr>
            <w:tcW w:w="2835" w:type="dxa"/>
            <w:tcMar>
              <w:top w:w="17" w:type="dxa"/>
              <w:left w:w="57" w:type="dxa"/>
              <w:bottom w:w="17" w:type="dxa"/>
              <w:right w:w="57" w:type="dxa"/>
            </w:tcMar>
            <w:vAlign w:val="center"/>
          </w:tcPr>
          <w:p w14:paraId="0609C61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洗涤剂、杀虫剂、润滑剂使用过程中无防范措施，导致化学污染。</w:t>
            </w:r>
          </w:p>
        </w:tc>
        <w:tc>
          <w:tcPr>
            <w:tcW w:w="3402" w:type="dxa"/>
            <w:tcMar>
              <w:top w:w="17" w:type="dxa"/>
              <w:left w:w="57" w:type="dxa"/>
              <w:bottom w:w="17" w:type="dxa"/>
              <w:right w:w="57" w:type="dxa"/>
            </w:tcMar>
            <w:vAlign w:val="center"/>
          </w:tcPr>
          <w:p w14:paraId="63C4F1C6">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1.建立化学品清单并定期进行核对更新。</w:t>
            </w:r>
          </w:p>
          <w:p w14:paraId="74D247E7">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2.完善化学品安全技术说明书、存储位置、用途、使用区域等要求。清洗剂、消毒剂、油墨、润滑剂等存储在专用化学品库房，并做好日常检查，并上锁管理。</w:t>
            </w:r>
          </w:p>
          <w:p w14:paraId="0E953372">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3.检查洗涤剂、杀虫剂、润滑剂等使用方式及过程是否满足控制污染的要求。</w:t>
            </w:r>
          </w:p>
        </w:tc>
        <w:tc>
          <w:tcPr>
            <w:tcW w:w="1077" w:type="dxa"/>
            <w:tcMar>
              <w:top w:w="17" w:type="dxa"/>
              <w:left w:w="57" w:type="dxa"/>
              <w:bottom w:w="17" w:type="dxa"/>
              <w:right w:w="57" w:type="dxa"/>
            </w:tcMar>
            <w:vAlign w:val="center"/>
          </w:tcPr>
          <w:p w14:paraId="444C9D2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定期</w:t>
            </w:r>
          </w:p>
        </w:tc>
        <w:tc>
          <w:tcPr>
            <w:tcW w:w="1644" w:type="dxa"/>
            <w:tcMar>
              <w:top w:w="17" w:type="dxa"/>
              <w:left w:w="57" w:type="dxa"/>
              <w:bottom w:w="17" w:type="dxa"/>
              <w:right w:w="57" w:type="dxa"/>
            </w:tcMar>
            <w:vAlign w:val="center"/>
          </w:tcPr>
          <w:p w14:paraId="0F56E20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02A22FE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1754D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624" w:type="dxa"/>
            <w:tcMar>
              <w:top w:w="17" w:type="dxa"/>
              <w:left w:w="57" w:type="dxa"/>
              <w:bottom w:w="17" w:type="dxa"/>
              <w:right w:w="57" w:type="dxa"/>
            </w:tcMar>
            <w:vAlign w:val="center"/>
          </w:tcPr>
          <w:p w14:paraId="4AA204C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012B43D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1F4A034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239E2A4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2FB16D8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3F01F93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共线</w:t>
            </w:r>
          </w:p>
          <w:p w14:paraId="79DCD400">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tc>
        <w:tc>
          <w:tcPr>
            <w:tcW w:w="2835" w:type="dxa"/>
            <w:tcMar>
              <w:top w:w="17" w:type="dxa"/>
              <w:left w:w="57" w:type="dxa"/>
              <w:bottom w:w="17" w:type="dxa"/>
              <w:right w:w="57" w:type="dxa"/>
            </w:tcMar>
            <w:vAlign w:val="center"/>
          </w:tcPr>
          <w:p w14:paraId="122370A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可能导致污染或交叉污染的共线生产行为。</w:t>
            </w:r>
          </w:p>
        </w:tc>
        <w:tc>
          <w:tcPr>
            <w:tcW w:w="3402" w:type="dxa"/>
            <w:tcMar>
              <w:top w:w="17" w:type="dxa"/>
              <w:left w:w="57" w:type="dxa"/>
              <w:bottom w:w="17" w:type="dxa"/>
              <w:right w:w="57" w:type="dxa"/>
            </w:tcMar>
            <w:vAlign w:val="center"/>
          </w:tcPr>
          <w:p w14:paraId="3C45BCF3">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1.明确共线生产管理要求、清场要求。</w:t>
            </w:r>
          </w:p>
          <w:p w14:paraId="04C5B7DC">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2.若多款产品存在共线生产，应做好品种更换前的有效清洁和清场工作，避免交叉污染。</w:t>
            </w:r>
          </w:p>
          <w:p w14:paraId="0ACDB46E">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3.新产品引入时提前进行共线风险评估，根据评估结果制定、更新清洁方法并完成清洁验证。</w:t>
            </w:r>
          </w:p>
        </w:tc>
        <w:tc>
          <w:tcPr>
            <w:tcW w:w="1077" w:type="dxa"/>
            <w:tcMar>
              <w:top w:w="17" w:type="dxa"/>
              <w:left w:w="57" w:type="dxa"/>
              <w:bottom w:w="17" w:type="dxa"/>
              <w:right w:w="57" w:type="dxa"/>
            </w:tcMar>
            <w:vAlign w:val="center"/>
          </w:tcPr>
          <w:p w14:paraId="7D4C7FF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每批</w:t>
            </w:r>
          </w:p>
        </w:tc>
        <w:tc>
          <w:tcPr>
            <w:tcW w:w="1644" w:type="dxa"/>
            <w:tcMar>
              <w:top w:w="17" w:type="dxa"/>
              <w:left w:w="57" w:type="dxa"/>
              <w:bottom w:w="17" w:type="dxa"/>
              <w:right w:w="57" w:type="dxa"/>
            </w:tcMar>
            <w:vAlign w:val="center"/>
          </w:tcPr>
          <w:p w14:paraId="2273B45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6C12C22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2AC144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24" w:type="dxa"/>
            <w:tcMar>
              <w:top w:w="17" w:type="dxa"/>
              <w:left w:w="57" w:type="dxa"/>
              <w:bottom w:w="17" w:type="dxa"/>
              <w:right w:w="57" w:type="dxa"/>
            </w:tcMar>
            <w:vAlign w:val="center"/>
          </w:tcPr>
          <w:p w14:paraId="2B21D33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2F86CB4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2802特殊医学用途婴儿配方食品</w:t>
            </w:r>
          </w:p>
        </w:tc>
        <w:tc>
          <w:tcPr>
            <w:tcW w:w="624" w:type="dxa"/>
            <w:tcMar>
              <w:top w:w="17" w:type="dxa"/>
              <w:left w:w="57" w:type="dxa"/>
              <w:bottom w:w="17" w:type="dxa"/>
              <w:right w:w="57" w:type="dxa"/>
            </w:tcMar>
            <w:vAlign w:val="center"/>
          </w:tcPr>
          <w:p w14:paraId="69575D4D">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247B5CD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p w14:paraId="325E7BD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w:t>
            </w:r>
          </w:p>
        </w:tc>
        <w:tc>
          <w:tcPr>
            <w:tcW w:w="850" w:type="dxa"/>
            <w:tcMar>
              <w:top w:w="17" w:type="dxa"/>
              <w:left w:w="57" w:type="dxa"/>
              <w:bottom w:w="17" w:type="dxa"/>
              <w:right w:w="57" w:type="dxa"/>
            </w:tcMar>
            <w:vAlign w:val="center"/>
          </w:tcPr>
          <w:p w14:paraId="31821F9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共线</w:t>
            </w:r>
          </w:p>
          <w:p w14:paraId="2D3309A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生产</w:t>
            </w:r>
          </w:p>
        </w:tc>
        <w:tc>
          <w:tcPr>
            <w:tcW w:w="2835" w:type="dxa"/>
            <w:tcMar>
              <w:top w:w="17" w:type="dxa"/>
              <w:left w:w="57" w:type="dxa"/>
              <w:bottom w:w="17" w:type="dxa"/>
              <w:right w:w="57" w:type="dxa"/>
            </w:tcMar>
            <w:vAlign w:val="center"/>
          </w:tcPr>
          <w:p w14:paraId="230D597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婴儿配方食品与其他产品共线生产，导致婴儿配方食品混有配方中不应含有物质风险，如：香兰素、蔗糖，混有谷蛋白、大豆蛋白的过敏原等。</w:t>
            </w:r>
          </w:p>
        </w:tc>
        <w:tc>
          <w:tcPr>
            <w:tcW w:w="3402" w:type="dxa"/>
            <w:tcMar>
              <w:top w:w="17" w:type="dxa"/>
              <w:left w:w="57" w:type="dxa"/>
              <w:bottom w:w="17" w:type="dxa"/>
              <w:right w:w="57" w:type="dxa"/>
            </w:tcMar>
            <w:vAlign w:val="center"/>
          </w:tcPr>
          <w:p w14:paraId="475D97F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1.核查生产批记录、清洁记录，生产前后记录应包含不同过敏原矩阵产品之间的每个产品切换。</w:t>
            </w:r>
          </w:p>
          <w:p w14:paraId="02F9D88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2.都进行了有效清洁，清洁方法是否按照有效验证的方法进行，清洁后的残留验证是否满足结果。</w:t>
            </w:r>
          </w:p>
          <w:p w14:paraId="71F796F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3.共线生产时，生产前及生产后根据验证过的清洁方式进行了有效清洁。</w:t>
            </w:r>
          </w:p>
          <w:p w14:paraId="1DA98D4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4.清洁记录与验证条件下的参数保持一致。</w:t>
            </w:r>
          </w:p>
        </w:tc>
        <w:tc>
          <w:tcPr>
            <w:tcW w:w="1077" w:type="dxa"/>
            <w:tcMar>
              <w:top w:w="17" w:type="dxa"/>
              <w:left w:w="57" w:type="dxa"/>
              <w:bottom w:w="17" w:type="dxa"/>
              <w:right w:w="57" w:type="dxa"/>
            </w:tcMar>
            <w:vAlign w:val="center"/>
          </w:tcPr>
          <w:p w14:paraId="13D27DB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0EF2B6B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68DE6F4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0C5C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4" w:hRule="atLeast"/>
          <w:jc w:val="center"/>
        </w:trPr>
        <w:tc>
          <w:tcPr>
            <w:tcW w:w="624" w:type="dxa"/>
            <w:tcMar>
              <w:top w:w="17" w:type="dxa"/>
              <w:left w:w="57" w:type="dxa"/>
              <w:bottom w:w="17" w:type="dxa"/>
              <w:right w:w="57" w:type="dxa"/>
            </w:tcMar>
            <w:vAlign w:val="center"/>
          </w:tcPr>
          <w:p w14:paraId="36E18D8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22A7CA7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2E4FE9B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34A2835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产品</w:t>
            </w:r>
          </w:p>
          <w:p w14:paraId="0427F70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检验</w:t>
            </w:r>
          </w:p>
        </w:tc>
        <w:tc>
          <w:tcPr>
            <w:tcW w:w="850" w:type="dxa"/>
            <w:tcMar>
              <w:top w:w="17" w:type="dxa"/>
              <w:left w:w="57" w:type="dxa"/>
              <w:bottom w:w="17" w:type="dxa"/>
              <w:right w:w="57" w:type="dxa"/>
            </w:tcMar>
            <w:vAlign w:val="center"/>
          </w:tcPr>
          <w:p w14:paraId="766084B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检验</w:t>
            </w:r>
          </w:p>
          <w:p w14:paraId="7AEAEAC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试剂</w:t>
            </w:r>
          </w:p>
        </w:tc>
        <w:tc>
          <w:tcPr>
            <w:tcW w:w="2835" w:type="dxa"/>
            <w:tcMar>
              <w:top w:w="17" w:type="dxa"/>
              <w:left w:w="57" w:type="dxa"/>
              <w:bottom w:w="17" w:type="dxa"/>
              <w:right w:w="57" w:type="dxa"/>
            </w:tcMar>
            <w:vAlign w:val="center"/>
          </w:tcPr>
          <w:p w14:paraId="0326067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1.出厂检验自检项目必备的试剂配备不全。</w:t>
            </w:r>
          </w:p>
          <w:p w14:paraId="310C6D1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2.检验试剂超过有效期，未对过期试剂进行有效识别和管理。</w:t>
            </w:r>
          </w:p>
          <w:p w14:paraId="4D13392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3.实验室正在使用的试剂的保存条件、标签、状态不满足该试剂的要求。</w:t>
            </w:r>
          </w:p>
          <w:p w14:paraId="4BBD577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4.易制毒、易制爆、剧毒试剂等检验试剂未按有关规定管理。</w:t>
            </w:r>
          </w:p>
        </w:tc>
        <w:tc>
          <w:tcPr>
            <w:tcW w:w="3402" w:type="dxa"/>
            <w:tcMar>
              <w:top w:w="17" w:type="dxa"/>
              <w:left w:w="57" w:type="dxa"/>
              <w:bottom w:w="17" w:type="dxa"/>
              <w:right w:w="57" w:type="dxa"/>
            </w:tcMar>
            <w:vAlign w:val="center"/>
          </w:tcPr>
          <w:p w14:paraId="1523B18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1.对检验所需的试剂耗材、培养基、标准物质（含工作对照品）、标准菌株等进行技术验收或确认，妥善保管并建立台账。</w:t>
            </w:r>
          </w:p>
          <w:p w14:paraId="049C152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2.检查正在使用试剂的保存条件、标签、状态应满足该试剂的要求。</w:t>
            </w:r>
          </w:p>
          <w:p w14:paraId="6C78E11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3.易制毒、易制爆、剧毒试剂等检验试剂按有关规定管理，检验试剂的消耗量应与使用记录相匹配。</w:t>
            </w:r>
          </w:p>
        </w:tc>
        <w:tc>
          <w:tcPr>
            <w:tcW w:w="1077" w:type="dxa"/>
            <w:tcMar>
              <w:top w:w="17" w:type="dxa"/>
              <w:left w:w="57" w:type="dxa"/>
              <w:bottom w:w="17" w:type="dxa"/>
              <w:right w:w="57" w:type="dxa"/>
            </w:tcMar>
            <w:vAlign w:val="center"/>
          </w:tcPr>
          <w:p w14:paraId="51AD4BD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按日</w:t>
            </w:r>
          </w:p>
        </w:tc>
        <w:tc>
          <w:tcPr>
            <w:tcW w:w="1644" w:type="dxa"/>
            <w:tcMar>
              <w:top w:w="17" w:type="dxa"/>
              <w:left w:w="57" w:type="dxa"/>
              <w:bottom w:w="17" w:type="dxa"/>
              <w:right w:w="57" w:type="dxa"/>
            </w:tcMar>
            <w:vAlign w:val="center"/>
          </w:tcPr>
          <w:p w14:paraId="1AE3947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符合《特殊医学用途配方食品生产许可审查细则》、标准和内控要求</w:t>
            </w:r>
          </w:p>
        </w:tc>
        <w:tc>
          <w:tcPr>
            <w:tcW w:w="680" w:type="dxa"/>
            <w:tcMar>
              <w:top w:w="17" w:type="dxa"/>
              <w:left w:w="57" w:type="dxa"/>
              <w:bottom w:w="17" w:type="dxa"/>
              <w:right w:w="57" w:type="dxa"/>
            </w:tcMar>
            <w:vAlign w:val="center"/>
          </w:tcPr>
          <w:p w14:paraId="3906BD5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689A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624" w:type="dxa"/>
            <w:tcMar>
              <w:top w:w="17" w:type="dxa"/>
              <w:left w:w="57" w:type="dxa"/>
              <w:bottom w:w="17" w:type="dxa"/>
              <w:right w:w="57" w:type="dxa"/>
            </w:tcMar>
            <w:vAlign w:val="center"/>
          </w:tcPr>
          <w:p w14:paraId="4A9BCBF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2396427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971A4D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025692FD">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产品</w:t>
            </w:r>
          </w:p>
          <w:p w14:paraId="5F79DCD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检验</w:t>
            </w:r>
          </w:p>
        </w:tc>
        <w:tc>
          <w:tcPr>
            <w:tcW w:w="850" w:type="dxa"/>
            <w:tcMar>
              <w:top w:w="17" w:type="dxa"/>
              <w:left w:w="57" w:type="dxa"/>
              <w:bottom w:w="17" w:type="dxa"/>
              <w:right w:w="57" w:type="dxa"/>
            </w:tcMar>
            <w:vAlign w:val="center"/>
          </w:tcPr>
          <w:p w14:paraId="170BB9A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样品</w:t>
            </w:r>
          </w:p>
          <w:p w14:paraId="2B87A78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管理</w:t>
            </w:r>
          </w:p>
        </w:tc>
        <w:tc>
          <w:tcPr>
            <w:tcW w:w="2835" w:type="dxa"/>
            <w:tcMar>
              <w:top w:w="17" w:type="dxa"/>
              <w:left w:w="57" w:type="dxa"/>
              <w:bottom w:w="17" w:type="dxa"/>
              <w:right w:w="57" w:type="dxa"/>
            </w:tcMar>
            <w:vAlign w:val="center"/>
          </w:tcPr>
          <w:p w14:paraId="4C571B8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1.样品未标识，或与送样登记信息不一致。</w:t>
            </w:r>
          </w:p>
          <w:p w14:paraId="3CF80AB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2.样品丢失。</w:t>
            </w:r>
          </w:p>
        </w:tc>
        <w:tc>
          <w:tcPr>
            <w:tcW w:w="3402" w:type="dxa"/>
            <w:tcMar>
              <w:top w:w="17" w:type="dxa"/>
              <w:left w:w="57" w:type="dxa"/>
              <w:bottom w:w="17" w:type="dxa"/>
              <w:right w:w="57" w:type="dxa"/>
            </w:tcMar>
            <w:vAlign w:val="center"/>
          </w:tcPr>
          <w:p w14:paraId="024F1D9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1.确认接收的样品清晰标识，与送样登记的信息一致。</w:t>
            </w:r>
          </w:p>
          <w:p w14:paraId="11D6F77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2.待检样品指定区域存放，妥善管理。</w:t>
            </w:r>
          </w:p>
        </w:tc>
        <w:tc>
          <w:tcPr>
            <w:tcW w:w="1077" w:type="dxa"/>
            <w:tcMar>
              <w:top w:w="17" w:type="dxa"/>
              <w:left w:w="57" w:type="dxa"/>
              <w:bottom w:w="17" w:type="dxa"/>
              <w:right w:w="57" w:type="dxa"/>
            </w:tcMar>
            <w:vAlign w:val="center"/>
          </w:tcPr>
          <w:p w14:paraId="0EF614C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44" w:type="dxa"/>
            <w:tcMar>
              <w:top w:w="17" w:type="dxa"/>
              <w:left w:w="57" w:type="dxa"/>
              <w:bottom w:w="17" w:type="dxa"/>
              <w:right w:w="57" w:type="dxa"/>
            </w:tcMar>
            <w:vAlign w:val="center"/>
          </w:tcPr>
          <w:p w14:paraId="667F5EB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符合内控要求</w:t>
            </w:r>
          </w:p>
        </w:tc>
        <w:tc>
          <w:tcPr>
            <w:tcW w:w="680" w:type="dxa"/>
            <w:tcMar>
              <w:top w:w="17" w:type="dxa"/>
              <w:left w:w="57" w:type="dxa"/>
              <w:bottom w:w="17" w:type="dxa"/>
              <w:right w:w="57" w:type="dxa"/>
            </w:tcMar>
            <w:vAlign w:val="center"/>
          </w:tcPr>
          <w:p w14:paraId="5CF763D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22F3F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0" w:hRule="atLeast"/>
          <w:jc w:val="center"/>
        </w:trPr>
        <w:tc>
          <w:tcPr>
            <w:tcW w:w="624" w:type="dxa"/>
            <w:tcMar>
              <w:top w:w="17" w:type="dxa"/>
              <w:left w:w="57" w:type="dxa"/>
              <w:bottom w:w="17" w:type="dxa"/>
              <w:right w:w="57" w:type="dxa"/>
            </w:tcMar>
            <w:vAlign w:val="center"/>
          </w:tcPr>
          <w:p w14:paraId="6F4A89F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2446CAA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4F25E94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2404E1E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产品</w:t>
            </w:r>
          </w:p>
          <w:p w14:paraId="655B1C1B">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检验</w:t>
            </w:r>
          </w:p>
        </w:tc>
        <w:tc>
          <w:tcPr>
            <w:tcW w:w="850" w:type="dxa"/>
            <w:tcMar>
              <w:top w:w="17" w:type="dxa"/>
              <w:left w:w="57" w:type="dxa"/>
              <w:bottom w:w="17" w:type="dxa"/>
              <w:right w:w="57" w:type="dxa"/>
            </w:tcMar>
            <w:vAlign w:val="center"/>
          </w:tcPr>
          <w:p w14:paraId="663838D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检验</w:t>
            </w:r>
          </w:p>
          <w:p w14:paraId="23B3519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能力</w:t>
            </w:r>
          </w:p>
        </w:tc>
        <w:tc>
          <w:tcPr>
            <w:tcW w:w="2835" w:type="dxa"/>
            <w:tcMar>
              <w:top w:w="17" w:type="dxa"/>
              <w:left w:w="57" w:type="dxa"/>
              <w:bottom w:w="17" w:type="dxa"/>
              <w:right w:w="57" w:type="dxa"/>
            </w:tcMar>
            <w:vAlign w:val="center"/>
          </w:tcPr>
          <w:p w14:paraId="262A7C2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检验能力不足或方法有误。</w:t>
            </w:r>
          </w:p>
        </w:tc>
        <w:tc>
          <w:tcPr>
            <w:tcW w:w="3402" w:type="dxa"/>
            <w:tcMar>
              <w:top w:w="17" w:type="dxa"/>
              <w:left w:w="57" w:type="dxa"/>
              <w:bottom w:w="17" w:type="dxa"/>
              <w:right w:w="57" w:type="dxa"/>
            </w:tcMar>
            <w:vAlign w:val="center"/>
          </w:tcPr>
          <w:p w14:paraId="7FE746C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1.定期进行标准查新，对更新的标准和新标准进行方法确认。</w:t>
            </w:r>
          </w:p>
          <w:p w14:paraId="63CE9A8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 定期评估检测方法适用性。</w:t>
            </w:r>
          </w:p>
          <w:p w14:paraId="31FAB70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 定期对检验人员进行培训考核，检测过程中增加加标回收、质控样、人员比对、仪器比对等质控方式。</w:t>
            </w:r>
          </w:p>
        </w:tc>
        <w:tc>
          <w:tcPr>
            <w:tcW w:w="1077" w:type="dxa"/>
            <w:tcMar>
              <w:top w:w="17" w:type="dxa"/>
              <w:left w:w="57" w:type="dxa"/>
              <w:bottom w:w="17" w:type="dxa"/>
              <w:right w:w="57" w:type="dxa"/>
            </w:tcMar>
            <w:vAlign w:val="center"/>
          </w:tcPr>
          <w:p w14:paraId="142894C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1-2：每季度</w:t>
            </w:r>
          </w:p>
          <w:p w14:paraId="02F33D8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3：定期</w:t>
            </w:r>
          </w:p>
        </w:tc>
        <w:tc>
          <w:tcPr>
            <w:tcW w:w="1644" w:type="dxa"/>
            <w:tcMar>
              <w:top w:w="17" w:type="dxa"/>
              <w:left w:w="57" w:type="dxa"/>
              <w:bottom w:w="17" w:type="dxa"/>
              <w:right w:w="57" w:type="dxa"/>
            </w:tcMar>
            <w:vAlign w:val="center"/>
          </w:tcPr>
          <w:p w14:paraId="3EEB4E7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27D357B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73904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8" w:hRule="atLeast"/>
          <w:jc w:val="center"/>
        </w:trPr>
        <w:tc>
          <w:tcPr>
            <w:tcW w:w="624" w:type="dxa"/>
            <w:tcMar>
              <w:top w:w="17" w:type="dxa"/>
              <w:left w:w="57" w:type="dxa"/>
              <w:bottom w:w="17" w:type="dxa"/>
              <w:right w:w="57" w:type="dxa"/>
            </w:tcMar>
            <w:vAlign w:val="center"/>
          </w:tcPr>
          <w:p w14:paraId="7999307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0FDC054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3EAE9CD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58ED81BF">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产品</w:t>
            </w:r>
          </w:p>
          <w:p w14:paraId="57D725CD">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检验</w:t>
            </w:r>
          </w:p>
        </w:tc>
        <w:tc>
          <w:tcPr>
            <w:tcW w:w="850" w:type="dxa"/>
            <w:tcMar>
              <w:top w:w="17" w:type="dxa"/>
              <w:left w:w="57" w:type="dxa"/>
              <w:bottom w:w="17" w:type="dxa"/>
              <w:right w:w="57" w:type="dxa"/>
            </w:tcMar>
            <w:vAlign w:val="center"/>
          </w:tcPr>
          <w:p w14:paraId="6AF30CD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检测记录与报告</w:t>
            </w:r>
          </w:p>
        </w:tc>
        <w:tc>
          <w:tcPr>
            <w:tcW w:w="2835" w:type="dxa"/>
            <w:tcMar>
              <w:top w:w="17" w:type="dxa"/>
              <w:left w:w="57" w:type="dxa"/>
              <w:bottom w:w="17" w:type="dxa"/>
              <w:right w:w="57" w:type="dxa"/>
            </w:tcMar>
            <w:vAlign w:val="center"/>
          </w:tcPr>
          <w:p w14:paraId="4E51EED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1.缺少出厂检验原始记录，检验原始记录不规范、不完整，出厂检验原始记录不真实或伪造原始记录。</w:t>
            </w:r>
          </w:p>
          <w:p w14:paraId="7E48AE5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2.检验报告不规范、不完整，如:缺少取样日期、检验依据等，检验报告数据与原始检验记录不能对应。</w:t>
            </w:r>
          </w:p>
          <w:p w14:paraId="13E141D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3.无仪器使用记录，仪器使用记录填写不完整，如无样品批号等信息，仪器使用记录与实际使用情况不一致，无法调取仪器中检验原始图谱等信息。</w:t>
            </w:r>
          </w:p>
          <w:p w14:paraId="57B23EF4">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4.检测报告与检测记录数据的不一致。</w:t>
            </w:r>
          </w:p>
          <w:p w14:paraId="2317863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5.检测记录不完整。</w:t>
            </w:r>
          </w:p>
          <w:p w14:paraId="714061FE">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6.检测记录和报告未按要求进行存档。</w:t>
            </w:r>
          </w:p>
        </w:tc>
        <w:tc>
          <w:tcPr>
            <w:tcW w:w="3402" w:type="dxa"/>
            <w:tcMar>
              <w:top w:w="17" w:type="dxa"/>
              <w:left w:w="57" w:type="dxa"/>
              <w:bottom w:w="17" w:type="dxa"/>
              <w:right w:w="57" w:type="dxa"/>
            </w:tcMar>
            <w:vAlign w:val="center"/>
          </w:tcPr>
          <w:p w14:paraId="327FA6C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1.检验原始记录应真实、规范、完整，检验操作步骤和参数应齐全，例如：恒重过程数据、检验仪器信息、标准品来源信息等。</w:t>
            </w:r>
          </w:p>
          <w:p w14:paraId="105BD82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2.检验报告应真实、规范、完整，检验结果应有相对应的检验原始记录，出厂检验报告应与生产记录、产品入库记录的批次相一致，录入数据应准确、规范。</w:t>
            </w:r>
          </w:p>
          <w:p w14:paraId="3794430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3.仪器使用记录应完整，与检验原始记录相对应，并与实际使用情况相一致。</w:t>
            </w:r>
          </w:p>
          <w:p w14:paraId="4D78EB5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 定期核查检测报告与检测数据的一致性。</w:t>
            </w:r>
          </w:p>
          <w:p w14:paraId="1BA0830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5. 定期核查检测记录的完整性。</w:t>
            </w:r>
          </w:p>
          <w:p w14:paraId="1C4291A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6.保留与检验相关的原始记录及报告并做好记录。</w:t>
            </w:r>
          </w:p>
        </w:tc>
        <w:tc>
          <w:tcPr>
            <w:tcW w:w="1077" w:type="dxa"/>
            <w:tcMar>
              <w:top w:w="17" w:type="dxa"/>
              <w:left w:w="57" w:type="dxa"/>
              <w:bottom w:w="17" w:type="dxa"/>
              <w:right w:w="57" w:type="dxa"/>
            </w:tcMar>
            <w:vAlign w:val="center"/>
          </w:tcPr>
          <w:p w14:paraId="39420DC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1-2：每批</w:t>
            </w:r>
          </w:p>
          <w:p w14:paraId="292C906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3：每日</w:t>
            </w:r>
          </w:p>
          <w:p w14:paraId="1AA4E90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4-5：定期</w:t>
            </w:r>
          </w:p>
        </w:tc>
        <w:tc>
          <w:tcPr>
            <w:tcW w:w="1644" w:type="dxa"/>
            <w:tcMar>
              <w:top w:w="17" w:type="dxa"/>
              <w:left w:w="57" w:type="dxa"/>
              <w:bottom w:w="17" w:type="dxa"/>
              <w:right w:w="57" w:type="dxa"/>
            </w:tcMar>
            <w:vAlign w:val="center"/>
          </w:tcPr>
          <w:p w14:paraId="2D56E3D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符合《特殊医学用途配方食品生产许可审查细则》、GB 14881和内控要求</w:t>
            </w:r>
          </w:p>
        </w:tc>
        <w:tc>
          <w:tcPr>
            <w:tcW w:w="680" w:type="dxa"/>
            <w:tcMar>
              <w:top w:w="17" w:type="dxa"/>
              <w:left w:w="57" w:type="dxa"/>
              <w:bottom w:w="17" w:type="dxa"/>
              <w:right w:w="57" w:type="dxa"/>
            </w:tcMar>
            <w:vAlign w:val="center"/>
          </w:tcPr>
          <w:p w14:paraId="4704889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7EE82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624" w:type="dxa"/>
            <w:tcMar>
              <w:top w:w="17" w:type="dxa"/>
              <w:left w:w="57" w:type="dxa"/>
              <w:bottom w:w="17" w:type="dxa"/>
              <w:right w:w="57" w:type="dxa"/>
            </w:tcMar>
            <w:vAlign w:val="center"/>
          </w:tcPr>
          <w:p w14:paraId="34E1365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1A410BC3">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2802特殊医学用途婴儿配方食品</w:t>
            </w:r>
          </w:p>
        </w:tc>
        <w:tc>
          <w:tcPr>
            <w:tcW w:w="624" w:type="dxa"/>
            <w:tcMar>
              <w:top w:w="17" w:type="dxa"/>
              <w:left w:w="57" w:type="dxa"/>
              <w:bottom w:w="17" w:type="dxa"/>
              <w:right w:w="57" w:type="dxa"/>
            </w:tcMar>
            <w:vAlign w:val="center"/>
          </w:tcPr>
          <w:p w14:paraId="76A8529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5B24E5C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产品</w:t>
            </w:r>
          </w:p>
          <w:p w14:paraId="0C2AEBC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放行</w:t>
            </w:r>
          </w:p>
        </w:tc>
        <w:tc>
          <w:tcPr>
            <w:tcW w:w="850" w:type="dxa"/>
            <w:tcMar>
              <w:top w:w="17" w:type="dxa"/>
              <w:left w:w="57" w:type="dxa"/>
              <w:bottom w:w="17" w:type="dxa"/>
              <w:right w:w="57" w:type="dxa"/>
            </w:tcMar>
            <w:vAlign w:val="center"/>
          </w:tcPr>
          <w:p w14:paraId="1A0D4BD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成品出厂检验</w:t>
            </w:r>
          </w:p>
        </w:tc>
        <w:tc>
          <w:tcPr>
            <w:tcW w:w="2835" w:type="dxa"/>
            <w:tcMar>
              <w:top w:w="17" w:type="dxa"/>
              <w:left w:w="57" w:type="dxa"/>
              <w:bottom w:w="17" w:type="dxa"/>
              <w:right w:w="57" w:type="dxa"/>
            </w:tcMar>
            <w:vAlign w:val="center"/>
          </w:tcPr>
          <w:p w14:paraId="4B0DE01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特殊医学用途婴儿配方食品在出厂检验时，未按照食品安全国家标准进行全项目自行检验，能力验证不符合要求。</w:t>
            </w:r>
          </w:p>
        </w:tc>
        <w:tc>
          <w:tcPr>
            <w:tcW w:w="3402" w:type="dxa"/>
            <w:tcMar>
              <w:top w:w="17" w:type="dxa"/>
              <w:left w:w="57" w:type="dxa"/>
              <w:bottom w:w="17" w:type="dxa"/>
              <w:right w:w="57" w:type="dxa"/>
            </w:tcMar>
            <w:vAlign w:val="center"/>
          </w:tcPr>
          <w:p w14:paraId="535706C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1.每批产品出厂前完成全项目自行检验放行。</w:t>
            </w:r>
          </w:p>
          <w:p w14:paraId="57EBC64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2.全项目每年至少参加一次能力验证。</w:t>
            </w:r>
          </w:p>
        </w:tc>
        <w:tc>
          <w:tcPr>
            <w:tcW w:w="1077" w:type="dxa"/>
            <w:tcMar>
              <w:top w:w="17" w:type="dxa"/>
              <w:left w:w="57" w:type="dxa"/>
              <w:bottom w:w="17" w:type="dxa"/>
              <w:right w:w="57" w:type="dxa"/>
            </w:tcMar>
            <w:vAlign w:val="center"/>
          </w:tcPr>
          <w:p w14:paraId="5E43B9E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1：每批</w:t>
            </w:r>
          </w:p>
          <w:p w14:paraId="113BBB7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2：每年</w:t>
            </w:r>
          </w:p>
        </w:tc>
        <w:tc>
          <w:tcPr>
            <w:tcW w:w="1644" w:type="dxa"/>
            <w:tcMar>
              <w:top w:w="17" w:type="dxa"/>
              <w:left w:w="57" w:type="dxa"/>
              <w:bottom w:w="17" w:type="dxa"/>
              <w:right w:w="57" w:type="dxa"/>
            </w:tcMar>
            <w:vAlign w:val="center"/>
          </w:tcPr>
          <w:p w14:paraId="7A4CC8E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58EEF07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39CC0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624" w:type="dxa"/>
            <w:tcMar>
              <w:top w:w="17" w:type="dxa"/>
              <w:left w:w="57" w:type="dxa"/>
              <w:bottom w:w="17" w:type="dxa"/>
              <w:right w:w="57" w:type="dxa"/>
            </w:tcMar>
            <w:vAlign w:val="center"/>
          </w:tcPr>
          <w:p w14:paraId="38B6D80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59E9ECD2">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854985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51E5C81F">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产品</w:t>
            </w:r>
          </w:p>
          <w:p w14:paraId="1ECE393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放行</w:t>
            </w:r>
          </w:p>
        </w:tc>
        <w:tc>
          <w:tcPr>
            <w:tcW w:w="850" w:type="dxa"/>
            <w:tcMar>
              <w:top w:w="17" w:type="dxa"/>
              <w:left w:w="57" w:type="dxa"/>
              <w:bottom w:w="17" w:type="dxa"/>
              <w:right w:w="57" w:type="dxa"/>
            </w:tcMar>
            <w:vAlign w:val="center"/>
          </w:tcPr>
          <w:p w14:paraId="1931D2F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成品出厂放行</w:t>
            </w:r>
          </w:p>
        </w:tc>
        <w:tc>
          <w:tcPr>
            <w:tcW w:w="2835" w:type="dxa"/>
            <w:tcMar>
              <w:top w:w="17" w:type="dxa"/>
              <w:left w:w="57" w:type="dxa"/>
              <w:bottom w:w="17" w:type="dxa"/>
              <w:right w:w="57" w:type="dxa"/>
            </w:tcMar>
            <w:vAlign w:val="center"/>
          </w:tcPr>
          <w:p w14:paraId="77BDC04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成品不满足国家食品安全标准。</w:t>
            </w:r>
          </w:p>
        </w:tc>
        <w:tc>
          <w:tcPr>
            <w:tcW w:w="3402" w:type="dxa"/>
            <w:tcMar>
              <w:top w:w="17" w:type="dxa"/>
              <w:left w:w="57" w:type="dxa"/>
              <w:bottom w:w="17" w:type="dxa"/>
              <w:right w:w="57" w:type="dxa"/>
            </w:tcMar>
            <w:vAlign w:val="center"/>
          </w:tcPr>
          <w:p w14:paraId="24A0C58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1.按照标准及检验计划对产品进行检验。</w:t>
            </w:r>
          </w:p>
          <w:p w14:paraId="2A8016D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2.检验样品具有代表性，能反映出过程风险。</w:t>
            </w:r>
          </w:p>
          <w:p w14:paraId="694B7E3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3.生产批记录内容完整且经双人复核。</w:t>
            </w:r>
          </w:p>
          <w:p w14:paraId="5699BE68">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4.生产过程关键参数按要求记录且符合内控标准。</w:t>
            </w:r>
          </w:p>
          <w:p w14:paraId="16DB787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5.异常情况（如有）已经调查，涉及成品评估无风险后出厂放行。</w:t>
            </w:r>
          </w:p>
        </w:tc>
        <w:tc>
          <w:tcPr>
            <w:tcW w:w="1077" w:type="dxa"/>
            <w:tcMar>
              <w:top w:w="17" w:type="dxa"/>
              <w:left w:w="57" w:type="dxa"/>
              <w:bottom w:w="17" w:type="dxa"/>
              <w:right w:w="57" w:type="dxa"/>
            </w:tcMar>
            <w:vAlign w:val="center"/>
          </w:tcPr>
          <w:p w14:paraId="3F7ED13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44" w:type="dxa"/>
            <w:tcMar>
              <w:top w:w="17" w:type="dxa"/>
              <w:left w:w="57" w:type="dxa"/>
              <w:bottom w:w="17" w:type="dxa"/>
              <w:right w:w="57" w:type="dxa"/>
            </w:tcMar>
            <w:vAlign w:val="center"/>
          </w:tcPr>
          <w:p w14:paraId="045D70E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654DBAA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1DCF2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24" w:type="dxa"/>
            <w:tcMar>
              <w:top w:w="17" w:type="dxa"/>
              <w:left w:w="57" w:type="dxa"/>
              <w:bottom w:w="17" w:type="dxa"/>
              <w:right w:w="57" w:type="dxa"/>
            </w:tcMar>
            <w:vAlign w:val="center"/>
          </w:tcPr>
          <w:p w14:paraId="1101275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7DE49AD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AA300E1">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57D5299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不合格品管理</w:t>
            </w:r>
          </w:p>
        </w:tc>
        <w:tc>
          <w:tcPr>
            <w:tcW w:w="850" w:type="dxa"/>
            <w:tcMar>
              <w:top w:w="17" w:type="dxa"/>
              <w:left w:w="57" w:type="dxa"/>
              <w:bottom w:w="17" w:type="dxa"/>
              <w:right w:w="57" w:type="dxa"/>
            </w:tcMar>
            <w:vAlign w:val="center"/>
          </w:tcPr>
          <w:p w14:paraId="4F40006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误用不合格品</w:t>
            </w:r>
          </w:p>
        </w:tc>
        <w:tc>
          <w:tcPr>
            <w:tcW w:w="2835" w:type="dxa"/>
            <w:tcMar>
              <w:top w:w="17" w:type="dxa"/>
              <w:left w:w="57" w:type="dxa"/>
              <w:bottom w:w="17" w:type="dxa"/>
              <w:right w:w="57" w:type="dxa"/>
            </w:tcMar>
            <w:vAlign w:val="center"/>
          </w:tcPr>
          <w:p w14:paraId="5CF9F4D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1.不同类别产品混放，导致误用或发货。</w:t>
            </w:r>
          </w:p>
          <w:p w14:paraId="459B777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w:t>
            </w:r>
            <w:r>
              <w:rPr>
                <w:rFonts w:hint="eastAsia" w:ascii="Times New Roman" w:hAnsi="Times New Roman" w:eastAsia="仿宋_GB2312" w:cs="仿宋_GB2312"/>
                <w:color w:val="000000" w:themeColor="text1"/>
                <w:sz w:val="24"/>
                <w14:textFill>
                  <w14:solidFill>
                    <w14:schemeClr w14:val="tx1"/>
                  </w14:solidFill>
                </w14:textFill>
              </w:rPr>
              <w:t>不合格品未被正确处理或记录。</w:t>
            </w:r>
          </w:p>
        </w:tc>
        <w:tc>
          <w:tcPr>
            <w:tcW w:w="3402" w:type="dxa"/>
            <w:tcMar>
              <w:top w:w="17" w:type="dxa"/>
              <w:left w:w="57" w:type="dxa"/>
              <w:bottom w:w="17" w:type="dxa"/>
              <w:right w:w="57" w:type="dxa"/>
            </w:tcMar>
            <w:vAlign w:val="center"/>
          </w:tcPr>
          <w:p w14:paraId="0C8E8FF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1.建立不合格品管理制度。</w:t>
            </w:r>
          </w:p>
          <w:p w14:paraId="4F9795C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2.验收不合格的食品原料、食品添加剂和食品相关产品，应在指定区域与合格品分开放置并明显标识。</w:t>
            </w:r>
          </w:p>
          <w:p w14:paraId="37126C0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3.建立和保存不合格品记录，记录应与实际一致。</w:t>
            </w:r>
          </w:p>
          <w:p w14:paraId="7FCF280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4.不合格品按规定采取无害化处理、销毁等防控措施，防止其再次流入市场 （如：倾倒加焚烧。破坏标签等）。</w:t>
            </w:r>
          </w:p>
        </w:tc>
        <w:tc>
          <w:tcPr>
            <w:tcW w:w="1077" w:type="dxa"/>
            <w:tcMar>
              <w:top w:w="17" w:type="dxa"/>
              <w:left w:w="57" w:type="dxa"/>
              <w:bottom w:w="17" w:type="dxa"/>
              <w:right w:w="57" w:type="dxa"/>
            </w:tcMar>
            <w:vAlign w:val="center"/>
          </w:tcPr>
          <w:p w14:paraId="3B2496F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44" w:type="dxa"/>
            <w:tcMar>
              <w:top w:w="17" w:type="dxa"/>
              <w:left w:w="57" w:type="dxa"/>
              <w:bottom w:w="17" w:type="dxa"/>
              <w:right w:w="57" w:type="dxa"/>
            </w:tcMar>
            <w:vAlign w:val="center"/>
          </w:tcPr>
          <w:p w14:paraId="54FDD92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4B53BC4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25461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24" w:type="dxa"/>
            <w:tcMar>
              <w:top w:w="17" w:type="dxa"/>
              <w:left w:w="57" w:type="dxa"/>
              <w:bottom w:w="17" w:type="dxa"/>
              <w:right w:w="57" w:type="dxa"/>
            </w:tcMar>
            <w:vAlign w:val="center"/>
          </w:tcPr>
          <w:p w14:paraId="1969830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4DFC73F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6CCC2C5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过程风险</w:t>
            </w:r>
          </w:p>
        </w:tc>
        <w:tc>
          <w:tcPr>
            <w:tcW w:w="850" w:type="dxa"/>
            <w:tcMar>
              <w:top w:w="17" w:type="dxa"/>
              <w:left w:w="57" w:type="dxa"/>
              <w:bottom w:w="17" w:type="dxa"/>
              <w:right w:w="57" w:type="dxa"/>
            </w:tcMar>
            <w:vAlign w:val="center"/>
          </w:tcPr>
          <w:p w14:paraId="48F198B3">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产品</w:t>
            </w:r>
          </w:p>
          <w:p w14:paraId="26B1BA8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留样</w:t>
            </w:r>
          </w:p>
        </w:tc>
        <w:tc>
          <w:tcPr>
            <w:tcW w:w="850" w:type="dxa"/>
            <w:tcMar>
              <w:top w:w="17" w:type="dxa"/>
              <w:left w:w="57" w:type="dxa"/>
              <w:bottom w:w="17" w:type="dxa"/>
              <w:right w:w="57" w:type="dxa"/>
            </w:tcMar>
            <w:vAlign w:val="center"/>
          </w:tcPr>
          <w:p w14:paraId="6C1B111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留样管理</w:t>
            </w:r>
          </w:p>
        </w:tc>
        <w:tc>
          <w:tcPr>
            <w:tcW w:w="2835" w:type="dxa"/>
            <w:tcMar>
              <w:top w:w="17" w:type="dxa"/>
              <w:left w:w="57" w:type="dxa"/>
              <w:bottom w:w="17" w:type="dxa"/>
              <w:right w:w="57" w:type="dxa"/>
            </w:tcMar>
            <w:vAlign w:val="center"/>
          </w:tcPr>
          <w:p w14:paraId="2FB28BC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1.产品未留样导致检测环节出现的问题难以追溯。</w:t>
            </w:r>
          </w:p>
          <w:p w14:paraId="41EE0B0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2.产品保质期内出现异常，不能进行有效溯源。</w:t>
            </w:r>
          </w:p>
        </w:tc>
        <w:tc>
          <w:tcPr>
            <w:tcW w:w="3402" w:type="dxa"/>
            <w:tcMar>
              <w:top w:w="17" w:type="dxa"/>
              <w:left w:w="57" w:type="dxa"/>
              <w:bottom w:w="17" w:type="dxa"/>
              <w:right w:w="57" w:type="dxa"/>
            </w:tcMar>
            <w:vAlign w:val="center"/>
          </w:tcPr>
          <w:p w14:paraId="63235B3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落实产品留样制度，及时保留样品。</w:t>
            </w:r>
          </w:p>
        </w:tc>
        <w:tc>
          <w:tcPr>
            <w:tcW w:w="1077" w:type="dxa"/>
            <w:tcMar>
              <w:top w:w="17" w:type="dxa"/>
              <w:left w:w="57" w:type="dxa"/>
              <w:bottom w:w="17" w:type="dxa"/>
              <w:right w:w="57" w:type="dxa"/>
            </w:tcMar>
            <w:vAlign w:val="center"/>
          </w:tcPr>
          <w:p w14:paraId="45F358D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每日</w:t>
            </w:r>
          </w:p>
        </w:tc>
        <w:tc>
          <w:tcPr>
            <w:tcW w:w="1644" w:type="dxa"/>
            <w:tcMar>
              <w:top w:w="17" w:type="dxa"/>
              <w:left w:w="57" w:type="dxa"/>
              <w:bottom w:w="17" w:type="dxa"/>
              <w:right w:w="57" w:type="dxa"/>
            </w:tcMar>
            <w:vAlign w:val="center"/>
          </w:tcPr>
          <w:p w14:paraId="39619FB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符合《特殊医学用途配方食品生产许可审查细则》和内控要求</w:t>
            </w:r>
          </w:p>
        </w:tc>
        <w:tc>
          <w:tcPr>
            <w:tcW w:w="680" w:type="dxa"/>
            <w:tcMar>
              <w:top w:w="17" w:type="dxa"/>
              <w:left w:w="57" w:type="dxa"/>
              <w:bottom w:w="17" w:type="dxa"/>
              <w:right w:w="57" w:type="dxa"/>
            </w:tcMar>
            <w:vAlign w:val="center"/>
          </w:tcPr>
          <w:p w14:paraId="67C14C0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D492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624" w:type="dxa"/>
            <w:tcMar>
              <w:top w:w="17" w:type="dxa"/>
              <w:left w:w="57" w:type="dxa"/>
              <w:bottom w:w="17" w:type="dxa"/>
              <w:right w:w="57" w:type="dxa"/>
            </w:tcMar>
            <w:vAlign w:val="center"/>
          </w:tcPr>
          <w:p w14:paraId="6D1F0F3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687DF1A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2C178D1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309CB32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贮存及交付控制</w:t>
            </w:r>
          </w:p>
        </w:tc>
        <w:tc>
          <w:tcPr>
            <w:tcW w:w="850" w:type="dxa"/>
            <w:tcMar>
              <w:top w:w="17" w:type="dxa"/>
              <w:left w:w="57" w:type="dxa"/>
              <w:bottom w:w="17" w:type="dxa"/>
              <w:right w:w="57" w:type="dxa"/>
            </w:tcMar>
            <w:vAlign w:val="center"/>
          </w:tcPr>
          <w:p w14:paraId="4EA91FC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贮存和运输条件</w:t>
            </w:r>
          </w:p>
        </w:tc>
        <w:tc>
          <w:tcPr>
            <w:tcW w:w="2835" w:type="dxa"/>
            <w:tcMar>
              <w:top w:w="17" w:type="dxa"/>
              <w:left w:w="57" w:type="dxa"/>
              <w:bottom w:w="17" w:type="dxa"/>
              <w:right w:w="57" w:type="dxa"/>
            </w:tcMar>
            <w:vAlign w:val="center"/>
          </w:tcPr>
          <w:p w14:paraId="6E623B2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1.贮存和运输条件不符合产品储运要求，有冷链要求的，无冷链控制制度或无相关记录。</w:t>
            </w:r>
          </w:p>
          <w:p w14:paraId="6442E7B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2.产品与有毒、有害物品同车或同一容器混装。</w:t>
            </w:r>
          </w:p>
          <w:p w14:paraId="1AB68D6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3.不合格品或被污染产品交付。</w:t>
            </w:r>
          </w:p>
        </w:tc>
        <w:tc>
          <w:tcPr>
            <w:tcW w:w="3402" w:type="dxa"/>
            <w:tcMar>
              <w:top w:w="17" w:type="dxa"/>
              <w:left w:w="57" w:type="dxa"/>
              <w:bottom w:w="17" w:type="dxa"/>
              <w:right w:w="57" w:type="dxa"/>
            </w:tcMar>
            <w:vAlign w:val="center"/>
          </w:tcPr>
          <w:p w14:paraId="1BCAB4D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1.根据食品特点和卫生需要选择适宜的贮存和运输条件，有冷链要求的，建立冷链控制制度和记录。</w:t>
            </w:r>
          </w:p>
          <w:p w14:paraId="1067859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2.产品运输设施应清洁，运输过程不得与有毒、有害物品同车或同一容器混装。</w:t>
            </w:r>
          </w:p>
          <w:p w14:paraId="48E9736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3.未经检验或检验不合格的产品不得出厂。</w:t>
            </w:r>
          </w:p>
        </w:tc>
        <w:tc>
          <w:tcPr>
            <w:tcW w:w="1077" w:type="dxa"/>
            <w:tcMar>
              <w:top w:w="17" w:type="dxa"/>
              <w:left w:w="57" w:type="dxa"/>
              <w:bottom w:w="17" w:type="dxa"/>
              <w:right w:w="57" w:type="dxa"/>
            </w:tcMar>
            <w:vAlign w:val="center"/>
          </w:tcPr>
          <w:p w14:paraId="539DC94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44" w:type="dxa"/>
            <w:tcMar>
              <w:top w:w="17" w:type="dxa"/>
              <w:left w:w="57" w:type="dxa"/>
              <w:bottom w:w="17" w:type="dxa"/>
              <w:right w:w="57" w:type="dxa"/>
            </w:tcMar>
            <w:vAlign w:val="center"/>
          </w:tcPr>
          <w:p w14:paraId="0B5B489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符合GB 14881和内控要求</w:t>
            </w:r>
          </w:p>
        </w:tc>
        <w:tc>
          <w:tcPr>
            <w:tcW w:w="680" w:type="dxa"/>
            <w:tcMar>
              <w:top w:w="17" w:type="dxa"/>
              <w:left w:w="57" w:type="dxa"/>
              <w:bottom w:w="17" w:type="dxa"/>
              <w:right w:w="57" w:type="dxa"/>
            </w:tcMar>
            <w:vAlign w:val="center"/>
          </w:tcPr>
          <w:p w14:paraId="11218E2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AE4F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624" w:type="dxa"/>
            <w:tcMar>
              <w:top w:w="17" w:type="dxa"/>
              <w:left w:w="57" w:type="dxa"/>
              <w:bottom w:w="17" w:type="dxa"/>
              <w:right w:w="57" w:type="dxa"/>
            </w:tcMar>
            <w:vAlign w:val="center"/>
          </w:tcPr>
          <w:p w14:paraId="1177B28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376EAA8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138EB02B">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850" w:type="dxa"/>
            <w:tcMar>
              <w:top w:w="17" w:type="dxa"/>
              <w:left w:w="57" w:type="dxa"/>
              <w:bottom w:w="17" w:type="dxa"/>
              <w:right w:w="57" w:type="dxa"/>
            </w:tcMar>
            <w:vAlign w:val="center"/>
          </w:tcPr>
          <w:p w14:paraId="26115B5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贮存及交付控制</w:t>
            </w:r>
          </w:p>
        </w:tc>
        <w:tc>
          <w:tcPr>
            <w:tcW w:w="850" w:type="dxa"/>
            <w:tcMar>
              <w:top w:w="17" w:type="dxa"/>
              <w:left w:w="57" w:type="dxa"/>
              <w:bottom w:w="17" w:type="dxa"/>
              <w:right w:w="57" w:type="dxa"/>
            </w:tcMar>
            <w:vAlign w:val="center"/>
          </w:tcPr>
          <w:p w14:paraId="11E6765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出厂记录</w:t>
            </w:r>
          </w:p>
        </w:tc>
        <w:tc>
          <w:tcPr>
            <w:tcW w:w="2835" w:type="dxa"/>
            <w:tcMar>
              <w:top w:w="17" w:type="dxa"/>
              <w:left w:w="57" w:type="dxa"/>
              <w:bottom w:w="17" w:type="dxa"/>
              <w:right w:w="57" w:type="dxa"/>
            </w:tcMar>
            <w:vAlign w:val="center"/>
          </w:tcPr>
          <w:p w14:paraId="4321045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出厂记录缺失或不完整，导致无法追溯。</w:t>
            </w:r>
          </w:p>
        </w:tc>
        <w:tc>
          <w:tcPr>
            <w:tcW w:w="3402" w:type="dxa"/>
            <w:tcMar>
              <w:top w:w="17" w:type="dxa"/>
              <w:left w:w="57" w:type="dxa"/>
              <w:bottom w:w="17" w:type="dxa"/>
              <w:right w:w="57" w:type="dxa"/>
            </w:tcMar>
            <w:vAlign w:val="center"/>
          </w:tcPr>
          <w:p w14:paraId="7D50FE6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1.建立每批产品出厂记录，如实记录相关信息。</w:t>
            </w:r>
          </w:p>
          <w:p w14:paraId="33EB03A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2.出厂记录真实、完整、可追溯，同批产品的数量、生产日期/生产批号信息要与生产记录、检验报告、入库记录、出库记录相符，购货者名称要与发货单名称一致。</w:t>
            </w:r>
          </w:p>
        </w:tc>
        <w:tc>
          <w:tcPr>
            <w:tcW w:w="1077" w:type="dxa"/>
            <w:tcMar>
              <w:top w:w="17" w:type="dxa"/>
              <w:left w:w="57" w:type="dxa"/>
              <w:bottom w:w="17" w:type="dxa"/>
              <w:right w:w="57" w:type="dxa"/>
            </w:tcMar>
            <w:vAlign w:val="center"/>
          </w:tcPr>
          <w:p w14:paraId="044812B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44" w:type="dxa"/>
            <w:tcMar>
              <w:top w:w="17" w:type="dxa"/>
              <w:left w:w="57" w:type="dxa"/>
              <w:bottom w:w="17" w:type="dxa"/>
              <w:right w:w="57" w:type="dxa"/>
            </w:tcMar>
            <w:vAlign w:val="center"/>
          </w:tcPr>
          <w:p w14:paraId="19C82AD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符合GB 14881和内控要求</w:t>
            </w:r>
          </w:p>
        </w:tc>
        <w:tc>
          <w:tcPr>
            <w:tcW w:w="680" w:type="dxa"/>
            <w:tcMar>
              <w:top w:w="17" w:type="dxa"/>
              <w:left w:w="57" w:type="dxa"/>
              <w:bottom w:w="17" w:type="dxa"/>
              <w:right w:w="57" w:type="dxa"/>
            </w:tcMar>
            <w:vAlign w:val="center"/>
          </w:tcPr>
          <w:p w14:paraId="16D7990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728C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624" w:type="dxa"/>
            <w:tcMar>
              <w:top w:w="17" w:type="dxa"/>
              <w:left w:w="57" w:type="dxa"/>
              <w:bottom w:w="17" w:type="dxa"/>
              <w:right w:w="57" w:type="dxa"/>
            </w:tcMar>
            <w:vAlign w:val="center"/>
          </w:tcPr>
          <w:p w14:paraId="2CAFAE0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3A75DB5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6FE993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体系风险</w:t>
            </w:r>
          </w:p>
        </w:tc>
        <w:tc>
          <w:tcPr>
            <w:tcW w:w="850" w:type="dxa"/>
            <w:tcMar>
              <w:top w:w="17" w:type="dxa"/>
              <w:left w:w="57" w:type="dxa"/>
              <w:bottom w:w="17" w:type="dxa"/>
              <w:right w:w="57" w:type="dxa"/>
            </w:tcMar>
            <w:vAlign w:val="center"/>
          </w:tcPr>
          <w:p w14:paraId="4B3DB62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执行法律法规标准</w:t>
            </w:r>
          </w:p>
        </w:tc>
        <w:tc>
          <w:tcPr>
            <w:tcW w:w="850" w:type="dxa"/>
            <w:tcMar>
              <w:top w:w="17" w:type="dxa"/>
              <w:left w:w="57" w:type="dxa"/>
              <w:bottom w:w="17" w:type="dxa"/>
              <w:right w:w="57" w:type="dxa"/>
            </w:tcMar>
            <w:vAlign w:val="center"/>
          </w:tcPr>
          <w:p w14:paraId="174EAA9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执行标准未现行有效</w:t>
            </w:r>
          </w:p>
        </w:tc>
        <w:tc>
          <w:tcPr>
            <w:tcW w:w="2835" w:type="dxa"/>
            <w:tcMar>
              <w:top w:w="17" w:type="dxa"/>
              <w:left w:w="57" w:type="dxa"/>
              <w:bottom w:w="17" w:type="dxa"/>
              <w:right w:w="57" w:type="dxa"/>
            </w:tcMar>
            <w:vAlign w:val="center"/>
          </w:tcPr>
          <w:p w14:paraId="0B842FB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1.食品安全相关新法规，新标准未及时实施的风险。</w:t>
            </w:r>
          </w:p>
          <w:p w14:paraId="651F145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2.新食品标准识别不及时或不全、理解不到位的风险。</w:t>
            </w:r>
          </w:p>
          <w:p w14:paraId="03EEAA1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3.企业标准的要求未满足国家标准要求。</w:t>
            </w:r>
          </w:p>
        </w:tc>
        <w:tc>
          <w:tcPr>
            <w:tcW w:w="3402" w:type="dxa"/>
            <w:tcMar>
              <w:top w:w="17" w:type="dxa"/>
              <w:left w:w="57" w:type="dxa"/>
              <w:bottom w:w="17" w:type="dxa"/>
              <w:right w:w="57" w:type="dxa"/>
            </w:tcMar>
            <w:vAlign w:val="center"/>
          </w:tcPr>
          <w:p w14:paraId="34B4CB3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1.检查收集的食品标准清单是否按需更新。</w:t>
            </w:r>
          </w:p>
          <w:p w14:paraId="2B48040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2.检查工厂内部每份新法规、新标准的差距分析是否完成。</w:t>
            </w:r>
          </w:p>
          <w:p w14:paraId="48BB63A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3.定期追踪和监督落实所定义的行动项是否及时关闭。</w:t>
            </w:r>
          </w:p>
          <w:p w14:paraId="2616DAC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4.定期检查制定的企业标准是否与最新的国家标准对比，是否满足要求。</w:t>
            </w:r>
          </w:p>
        </w:tc>
        <w:tc>
          <w:tcPr>
            <w:tcW w:w="1077" w:type="dxa"/>
            <w:tcMar>
              <w:top w:w="17" w:type="dxa"/>
              <w:left w:w="57" w:type="dxa"/>
              <w:bottom w:w="17" w:type="dxa"/>
              <w:right w:w="57" w:type="dxa"/>
            </w:tcMar>
            <w:vAlign w:val="center"/>
          </w:tcPr>
          <w:p w14:paraId="08F7200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每月</w:t>
            </w:r>
          </w:p>
        </w:tc>
        <w:tc>
          <w:tcPr>
            <w:tcW w:w="1644" w:type="dxa"/>
            <w:tcMar>
              <w:top w:w="17" w:type="dxa"/>
              <w:left w:w="57" w:type="dxa"/>
              <w:bottom w:w="17" w:type="dxa"/>
              <w:right w:w="57" w:type="dxa"/>
            </w:tcMar>
            <w:vAlign w:val="center"/>
          </w:tcPr>
          <w:p w14:paraId="046CBB5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符合《食品安全法》要求</w:t>
            </w:r>
          </w:p>
        </w:tc>
        <w:tc>
          <w:tcPr>
            <w:tcW w:w="680" w:type="dxa"/>
            <w:tcMar>
              <w:top w:w="17" w:type="dxa"/>
              <w:left w:w="57" w:type="dxa"/>
              <w:bottom w:w="17" w:type="dxa"/>
              <w:right w:w="57" w:type="dxa"/>
            </w:tcMar>
            <w:vAlign w:val="center"/>
          </w:tcPr>
          <w:p w14:paraId="2B7C05B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4906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jc w:val="center"/>
        </w:trPr>
        <w:tc>
          <w:tcPr>
            <w:tcW w:w="624" w:type="dxa"/>
            <w:tcMar>
              <w:top w:w="17" w:type="dxa"/>
              <w:left w:w="57" w:type="dxa"/>
              <w:bottom w:w="17" w:type="dxa"/>
              <w:right w:w="57" w:type="dxa"/>
            </w:tcMar>
            <w:vAlign w:val="center"/>
          </w:tcPr>
          <w:p w14:paraId="0A45F3D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430DB43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5B7D187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体系风险</w:t>
            </w:r>
          </w:p>
        </w:tc>
        <w:tc>
          <w:tcPr>
            <w:tcW w:w="850" w:type="dxa"/>
            <w:tcMar>
              <w:top w:w="17" w:type="dxa"/>
              <w:left w:w="57" w:type="dxa"/>
              <w:bottom w:w="17" w:type="dxa"/>
              <w:right w:w="57" w:type="dxa"/>
            </w:tcMar>
            <w:vAlign w:val="center"/>
          </w:tcPr>
          <w:p w14:paraId="709E398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食品安全自查</w:t>
            </w:r>
          </w:p>
        </w:tc>
        <w:tc>
          <w:tcPr>
            <w:tcW w:w="850" w:type="dxa"/>
            <w:tcMar>
              <w:top w:w="17" w:type="dxa"/>
              <w:left w:w="57" w:type="dxa"/>
              <w:bottom w:w="17" w:type="dxa"/>
              <w:right w:w="57" w:type="dxa"/>
            </w:tcMar>
            <w:vAlign w:val="center"/>
          </w:tcPr>
          <w:p w14:paraId="42FC098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食品安全自查</w:t>
            </w:r>
          </w:p>
        </w:tc>
        <w:tc>
          <w:tcPr>
            <w:tcW w:w="2835" w:type="dxa"/>
            <w:tcMar>
              <w:top w:w="17" w:type="dxa"/>
              <w:left w:w="57" w:type="dxa"/>
              <w:bottom w:w="17" w:type="dxa"/>
              <w:right w:w="57" w:type="dxa"/>
            </w:tcMar>
            <w:vAlign w:val="center"/>
          </w:tcPr>
          <w:p w14:paraId="088D5C3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1.未建立食品安全自查制度。</w:t>
            </w:r>
          </w:p>
          <w:p w14:paraId="23E73D3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2.未按照自查制度要求定期开展自查，缺少相关自查记录，如:《每日食品安全检查记录》《每周食品安全排查治理报告》《每月食品安全调度会议纪要》。</w:t>
            </w:r>
          </w:p>
          <w:p w14:paraId="5FFA724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自查不能发现问题。发现食品安全问题，未立即采取措施。发现食品安全事故潜在风险的，未立即停止食品生产经营活动或未向所在地市场监管部门报告。生产条件发生变化，不再符合食品安全要求的，未立即采取整改措施。</w:t>
            </w:r>
          </w:p>
        </w:tc>
        <w:tc>
          <w:tcPr>
            <w:tcW w:w="3402" w:type="dxa"/>
            <w:tcMar>
              <w:top w:w="17" w:type="dxa"/>
              <w:left w:w="57" w:type="dxa"/>
              <w:bottom w:w="17" w:type="dxa"/>
              <w:right w:w="57" w:type="dxa"/>
            </w:tcMar>
            <w:vAlign w:val="center"/>
          </w:tcPr>
          <w:p w14:paraId="61A390E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1.建立食品安全自查制度，规定自查内容、频次、负责人、报告制度等，自查资料按规定存档。</w:t>
            </w:r>
          </w:p>
          <w:p w14:paraId="7B96065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建立基于食品安全风险防控的动态管理机制，结合企业实际，落实自查要求，制定食品安全风险管控清单，建立健全日管控、周排查、月调度工作制度和机制。企业主要负责人每月至少听取1次食品安全总监管理工作情况汇报，查看相关管理记录，特别是《每月食品安全调度会议纪要》。食品安全总监或者食品安全员每周至少组织1次风险隐患排查，形成《每周食品安全排查治理报告》。食品安全员每日根据风险管控清单进行检查，形成《每日食品安全检查记录》。</w:t>
            </w:r>
          </w:p>
          <w:p w14:paraId="3C52378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3.生产条件发生变化，不再符合食品安全要求的，立即采取整改措施。有发生食品安全事故潜在风险的，立即停止食品生产经营活动，并按规定向所在地市场监管部门报告。</w:t>
            </w:r>
          </w:p>
          <w:p w14:paraId="246D173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4.将自查发现问题进行动态风险管控。</w:t>
            </w:r>
          </w:p>
        </w:tc>
        <w:tc>
          <w:tcPr>
            <w:tcW w:w="1077" w:type="dxa"/>
            <w:tcMar>
              <w:top w:w="17" w:type="dxa"/>
              <w:left w:w="57" w:type="dxa"/>
              <w:bottom w:w="17" w:type="dxa"/>
              <w:right w:w="57" w:type="dxa"/>
            </w:tcMar>
            <w:vAlign w:val="center"/>
          </w:tcPr>
          <w:p w14:paraId="680D9C7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每年</w:t>
            </w:r>
          </w:p>
        </w:tc>
        <w:tc>
          <w:tcPr>
            <w:tcW w:w="1644" w:type="dxa"/>
            <w:tcMar>
              <w:top w:w="17" w:type="dxa"/>
              <w:left w:w="57" w:type="dxa"/>
              <w:bottom w:w="17" w:type="dxa"/>
              <w:right w:w="57" w:type="dxa"/>
            </w:tcMar>
            <w:vAlign w:val="center"/>
          </w:tcPr>
          <w:p w14:paraId="5063854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符合《食品安全法》《企业落实食品安全主体责任监督管理规定》要求</w:t>
            </w:r>
          </w:p>
        </w:tc>
        <w:tc>
          <w:tcPr>
            <w:tcW w:w="680" w:type="dxa"/>
            <w:tcMar>
              <w:top w:w="17" w:type="dxa"/>
              <w:left w:w="57" w:type="dxa"/>
              <w:bottom w:w="17" w:type="dxa"/>
              <w:right w:w="57" w:type="dxa"/>
            </w:tcMar>
            <w:vAlign w:val="center"/>
          </w:tcPr>
          <w:p w14:paraId="1AE929F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B8B6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624" w:type="dxa"/>
            <w:tcMar>
              <w:top w:w="17" w:type="dxa"/>
              <w:left w:w="57" w:type="dxa"/>
              <w:bottom w:w="17" w:type="dxa"/>
              <w:right w:w="57" w:type="dxa"/>
            </w:tcMar>
            <w:vAlign w:val="center"/>
          </w:tcPr>
          <w:p w14:paraId="2BB5784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特殊医学用途配方食品</w:t>
            </w:r>
          </w:p>
        </w:tc>
        <w:tc>
          <w:tcPr>
            <w:tcW w:w="624" w:type="dxa"/>
            <w:tcMar>
              <w:top w:w="17" w:type="dxa"/>
              <w:left w:w="57" w:type="dxa"/>
              <w:bottom w:w="17" w:type="dxa"/>
              <w:right w:w="57" w:type="dxa"/>
            </w:tcMar>
            <w:vAlign w:val="center"/>
          </w:tcPr>
          <w:p w14:paraId="5082D9F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2801特殊医学用途配方食品</w:t>
            </w:r>
          </w:p>
        </w:tc>
        <w:tc>
          <w:tcPr>
            <w:tcW w:w="624" w:type="dxa"/>
            <w:tcMar>
              <w:top w:w="17" w:type="dxa"/>
              <w:left w:w="57" w:type="dxa"/>
              <w:bottom w:w="17" w:type="dxa"/>
              <w:right w:w="57" w:type="dxa"/>
            </w:tcMar>
            <w:vAlign w:val="center"/>
          </w:tcPr>
          <w:p w14:paraId="02F7AEE0">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体系风险</w:t>
            </w:r>
          </w:p>
        </w:tc>
        <w:tc>
          <w:tcPr>
            <w:tcW w:w="850" w:type="dxa"/>
            <w:tcMar>
              <w:top w:w="17" w:type="dxa"/>
              <w:left w:w="57" w:type="dxa"/>
              <w:bottom w:w="17" w:type="dxa"/>
              <w:right w:w="57" w:type="dxa"/>
            </w:tcMar>
            <w:vAlign w:val="center"/>
          </w:tcPr>
          <w:p w14:paraId="1E1C281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问题</w:t>
            </w:r>
          </w:p>
          <w:p w14:paraId="4B665D9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整改</w:t>
            </w:r>
          </w:p>
        </w:tc>
        <w:tc>
          <w:tcPr>
            <w:tcW w:w="850" w:type="dxa"/>
            <w:tcMar>
              <w:top w:w="17" w:type="dxa"/>
              <w:left w:w="57" w:type="dxa"/>
              <w:bottom w:w="17" w:type="dxa"/>
              <w:right w:w="57" w:type="dxa"/>
            </w:tcMar>
            <w:vAlign w:val="center"/>
          </w:tcPr>
          <w:p w14:paraId="67213FF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监督检查、自查发现问题未整改落实到位</w:t>
            </w:r>
          </w:p>
        </w:tc>
        <w:tc>
          <w:tcPr>
            <w:tcW w:w="2835" w:type="dxa"/>
            <w:tcMar>
              <w:top w:w="17" w:type="dxa"/>
              <w:left w:w="57" w:type="dxa"/>
              <w:bottom w:w="17" w:type="dxa"/>
              <w:right w:w="57" w:type="dxa"/>
            </w:tcMar>
            <w:vAlign w:val="center"/>
          </w:tcPr>
          <w:p w14:paraId="794EF5F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1.监督检查发现的问题未完成整改。</w:t>
            </w:r>
          </w:p>
          <w:p w14:paraId="1D7A1BE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2.包保干部督导发现的问题未完成整改。</w:t>
            </w:r>
          </w:p>
          <w:p w14:paraId="08FCE95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3.企业自查发现的问题未完成整改。</w:t>
            </w:r>
          </w:p>
        </w:tc>
        <w:tc>
          <w:tcPr>
            <w:tcW w:w="3402" w:type="dxa"/>
            <w:tcMar>
              <w:top w:w="17" w:type="dxa"/>
              <w:left w:w="57" w:type="dxa"/>
              <w:bottom w:w="17" w:type="dxa"/>
              <w:right w:w="57" w:type="dxa"/>
            </w:tcMar>
            <w:vAlign w:val="center"/>
          </w:tcPr>
          <w:p w14:paraId="23F487D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1.接受监督检查发现问题，及时整改消除食品安全隐患，并就整改问题及时对员工进行培训，持续保持整改效果，对发现的问题进行动态风险管控。</w:t>
            </w:r>
          </w:p>
          <w:p w14:paraId="66C3479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2.接受包保干部督导发现问题，及时整改消除食品安全隐患，并就整改问题及时对员工进行培训，持续保持整改效果，对发现的问题进行动态风险管控。</w:t>
            </w:r>
          </w:p>
          <w:p w14:paraId="61957FB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3.自查发现问题，及时整改消除食品安全隐患，并就整改问题及时对员工进行培训，持续保持整改效果，对发现的问题进行动态风险管控。</w:t>
            </w:r>
          </w:p>
        </w:tc>
        <w:tc>
          <w:tcPr>
            <w:tcW w:w="1077" w:type="dxa"/>
            <w:tcMar>
              <w:top w:w="17" w:type="dxa"/>
              <w:left w:w="57" w:type="dxa"/>
              <w:bottom w:w="17" w:type="dxa"/>
              <w:right w:w="57" w:type="dxa"/>
            </w:tcMar>
            <w:vAlign w:val="center"/>
          </w:tcPr>
          <w:p w14:paraId="05BA440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1：按需</w:t>
            </w:r>
          </w:p>
          <w:p w14:paraId="3ADB22B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2：每季度</w:t>
            </w:r>
          </w:p>
          <w:p w14:paraId="01FDFD1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3：每年</w:t>
            </w:r>
          </w:p>
        </w:tc>
        <w:tc>
          <w:tcPr>
            <w:tcW w:w="1644" w:type="dxa"/>
            <w:tcMar>
              <w:top w:w="17" w:type="dxa"/>
              <w:left w:w="57" w:type="dxa"/>
              <w:bottom w:w="17" w:type="dxa"/>
              <w:right w:w="57" w:type="dxa"/>
            </w:tcMar>
            <w:vAlign w:val="center"/>
          </w:tcPr>
          <w:p w14:paraId="02F6E34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符合《食品安全法》要求</w:t>
            </w:r>
          </w:p>
        </w:tc>
        <w:tc>
          <w:tcPr>
            <w:tcW w:w="680" w:type="dxa"/>
            <w:tcMar>
              <w:top w:w="17" w:type="dxa"/>
              <w:left w:w="57" w:type="dxa"/>
              <w:bottom w:w="17" w:type="dxa"/>
              <w:right w:w="57" w:type="dxa"/>
            </w:tcMar>
            <w:vAlign w:val="center"/>
          </w:tcPr>
          <w:p w14:paraId="32F5592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0FC34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5" w:hRule="atLeast"/>
          <w:jc w:val="center"/>
        </w:trPr>
        <w:tc>
          <w:tcPr>
            <w:tcW w:w="1644" w:type="dxa"/>
            <w:gridSpan w:val="10"/>
            <w:tcMar>
              <w:top w:w="17" w:type="dxa"/>
              <w:left w:w="57" w:type="dxa"/>
              <w:bottom w:w="17" w:type="dxa"/>
              <w:right w:w="57" w:type="dxa"/>
            </w:tcMar>
            <w:vAlign w:val="center"/>
          </w:tcPr>
          <w:p w14:paraId="24499E7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说明：</w:t>
            </w:r>
          </w:p>
          <w:p w14:paraId="186F1EA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1.管控清单从生产环境条件、进货查验、生产过程控制、产品检验、贮存及交付控制、不合格食品管理、食品安全自查、从业人员管理、问题整改等方面确定风险点。</w:t>
            </w:r>
          </w:p>
          <w:p w14:paraId="393EE8B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管控清单仅供参考，企业需根据自身生产实际动态调整，制定适合本企业生产相关的食品安全风险管控清单，定期开展自查，加强食品安全管理和产品质量控制，提高风险管控能力，落实食品安全主体责任，保障产品质量安全。</w:t>
            </w:r>
          </w:p>
          <w:p w14:paraId="35D1678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3.每日风险管控为企业正常生产状态应采取的措施，如不生产或长期停产，企业可根据实际情况自行调整。</w:t>
            </w:r>
          </w:p>
        </w:tc>
      </w:tr>
    </w:tbl>
    <w:p w14:paraId="2430DBE8">
      <w:pPr>
        <w:overflowPunct w:val="0"/>
        <w:topLinePunct/>
        <w:spacing w:line="320" w:lineRule="exact"/>
        <w:textAlignment w:val="center"/>
        <w:rPr>
          <w:rFonts w:ascii="Times New Roman" w:hAnsi="Times New Roman" w:eastAsia="仿宋_GB2312"/>
          <w:color w:val="000000" w:themeColor="text1"/>
          <w:sz w:val="24"/>
          <w14:textFill>
            <w14:solidFill>
              <w14:schemeClr w14:val="tx1"/>
            </w14:solidFill>
          </w14:textFill>
        </w:rPr>
      </w:pPr>
    </w:p>
    <w:p w14:paraId="3026A7ED">
      <w:pPr>
        <w:pStyle w:val="2"/>
        <w:rPr>
          <w:rFonts w:ascii="Times New Roman" w:hAnsi="Times New Roman" w:eastAsia="仿宋_GB2312"/>
          <w:color w:val="000000" w:themeColor="text1"/>
          <w:sz w:val="24"/>
          <w14:textFill>
            <w14:solidFill>
              <w14:schemeClr w14:val="tx1"/>
            </w14:solidFill>
          </w14:textFill>
        </w:rPr>
      </w:pPr>
    </w:p>
    <w:p w14:paraId="4FC85D57">
      <w:pPr>
        <w:pStyle w:val="3"/>
        <w:rPr>
          <w:rFonts w:ascii="Times New Roman" w:hAnsi="Times New Roman" w:eastAsia="仿宋_GB2312"/>
          <w:color w:val="000000" w:themeColor="text1"/>
          <w:sz w:val="24"/>
          <w14:textFill>
            <w14:solidFill>
              <w14:schemeClr w14:val="tx1"/>
            </w14:solidFill>
          </w14:textFill>
        </w:rPr>
      </w:pPr>
    </w:p>
    <w:p w14:paraId="515089C0">
      <w:pPr>
        <w:pStyle w:val="3"/>
        <w:rPr>
          <w:rFonts w:ascii="Times New Roman" w:hAnsi="Times New Roman" w:eastAsia="仿宋_GB2312"/>
          <w:color w:val="000000" w:themeColor="text1"/>
          <w:sz w:val="24"/>
          <w14:textFill>
            <w14:solidFill>
              <w14:schemeClr w14:val="tx1"/>
            </w14:solidFill>
          </w14:textFill>
        </w:rPr>
      </w:pPr>
    </w:p>
    <w:p w14:paraId="37591C97">
      <w:pPr>
        <w:pStyle w:val="3"/>
        <w:rPr>
          <w:rFonts w:ascii="Times New Roman" w:hAnsi="Times New Roman" w:eastAsia="仿宋_GB2312"/>
          <w:color w:val="000000" w:themeColor="text1"/>
          <w:sz w:val="24"/>
          <w14:textFill>
            <w14:solidFill>
              <w14:schemeClr w14:val="tx1"/>
            </w14:solidFill>
          </w14:textFill>
        </w:rPr>
      </w:pPr>
    </w:p>
    <w:p w14:paraId="3AC813B6">
      <w:pPr>
        <w:pStyle w:val="3"/>
        <w:rPr>
          <w:rFonts w:ascii="Times New Roman" w:hAnsi="Times New Roman" w:eastAsia="仿宋_GB2312"/>
          <w:color w:val="000000" w:themeColor="text1"/>
          <w:sz w:val="24"/>
          <w14:textFill>
            <w14:solidFill>
              <w14:schemeClr w14:val="tx1"/>
            </w14:solidFill>
          </w14:textFill>
        </w:rPr>
      </w:pPr>
    </w:p>
    <w:p w14:paraId="00D2CCB6">
      <w:pPr>
        <w:pStyle w:val="3"/>
        <w:rPr>
          <w:rFonts w:ascii="Times New Roman" w:hAnsi="Times New Roman" w:eastAsia="仿宋_GB2312"/>
          <w:color w:val="000000" w:themeColor="text1"/>
          <w:sz w:val="24"/>
          <w14:textFill>
            <w14:solidFill>
              <w14:schemeClr w14:val="tx1"/>
            </w14:solidFill>
          </w14:textFill>
        </w:rPr>
      </w:pPr>
    </w:p>
    <w:p w14:paraId="58F9A84F">
      <w:pPr>
        <w:pStyle w:val="3"/>
        <w:rPr>
          <w:rFonts w:ascii="Times New Roman" w:hAnsi="Times New Roman" w:eastAsia="仿宋_GB2312"/>
          <w:color w:val="000000" w:themeColor="text1"/>
          <w:sz w:val="24"/>
          <w14:textFill>
            <w14:solidFill>
              <w14:schemeClr w14:val="tx1"/>
            </w14:solidFill>
          </w14:textFill>
        </w:rPr>
      </w:pPr>
    </w:p>
    <w:p w14:paraId="3CAB6187">
      <w:pPr>
        <w:pStyle w:val="3"/>
        <w:rPr>
          <w:rFonts w:ascii="Times New Roman" w:hAnsi="Times New Roman" w:eastAsia="仿宋_GB2312"/>
          <w:color w:val="000000" w:themeColor="text1"/>
          <w:sz w:val="24"/>
          <w14:textFill>
            <w14:solidFill>
              <w14:schemeClr w14:val="tx1"/>
            </w14:solidFill>
          </w14:textFill>
        </w:rPr>
      </w:pPr>
    </w:p>
    <w:p w14:paraId="26E54E2A">
      <w:pPr>
        <w:pStyle w:val="3"/>
        <w:rPr>
          <w:rFonts w:ascii="Times New Roman" w:hAnsi="Times New Roman" w:eastAsia="仿宋_GB2312"/>
          <w:color w:val="000000" w:themeColor="text1"/>
          <w:sz w:val="24"/>
          <w14:textFill>
            <w14:solidFill>
              <w14:schemeClr w14:val="tx1"/>
            </w14:solidFill>
          </w14:textFill>
        </w:rPr>
      </w:pPr>
    </w:p>
    <w:p w14:paraId="4976D1DE">
      <w:pPr>
        <w:outlineLvl w:val="0"/>
        <w:rPr>
          <w:rFonts w:ascii="Times New Roman" w:hAnsi="Times New Roman" w:eastAsia="方正小标宋简体"/>
          <w:color w:val="000000" w:themeColor="text1"/>
          <w:sz w:val="32"/>
          <w:szCs w:val="32"/>
          <w14:textFill>
            <w14:solidFill>
              <w14:schemeClr w14:val="tx1"/>
            </w14:solidFill>
          </w14:textFill>
        </w:rPr>
      </w:pPr>
      <w:bookmarkStart w:id="2" w:name="_Toc893754039"/>
      <w:r>
        <w:rPr>
          <w:rFonts w:hint="eastAsia" w:ascii="Times New Roman" w:hAnsi="Times New Roman" w:eastAsia="方正小标宋简体"/>
          <w:color w:val="000000" w:themeColor="text1"/>
          <w:sz w:val="32"/>
          <w:szCs w:val="32"/>
          <w14:textFill>
            <w14:solidFill>
              <w14:schemeClr w14:val="tx1"/>
            </w14:solidFill>
          </w14:textFill>
        </w:rPr>
        <w:t>2-54：</w:t>
      </w:r>
      <w:bookmarkEnd w:id="2"/>
    </w:p>
    <w:p w14:paraId="2F00042F">
      <w:pPr>
        <w:spacing w:line="594" w:lineRule="exact"/>
        <w:jc w:val="center"/>
        <w:outlineLvl w:val="0"/>
        <w:rPr>
          <w:rFonts w:hint="eastAsia" w:ascii="Times New Roman" w:hAnsi="Times New Roman" w:eastAsia="方正小标宋简体" w:cs="方正小标宋简体"/>
          <w:color w:val="000000" w:themeColor="text1"/>
          <w:sz w:val="44"/>
          <w:szCs w:val="44"/>
          <w14:textFill>
            <w14:solidFill>
              <w14:schemeClr w14:val="tx1"/>
            </w14:solidFill>
          </w14:textFill>
        </w:rPr>
      </w:pPr>
      <w:bookmarkStart w:id="3" w:name="_Toc103168244"/>
      <w:r>
        <w:rPr>
          <w:rFonts w:hint="eastAsia" w:ascii="Times New Roman" w:hAnsi="Times New Roman" w:eastAsia="方正小标宋简体" w:cs="方正小标宋简体"/>
          <w:color w:val="000000" w:themeColor="text1"/>
          <w:sz w:val="44"/>
          <w:szCs w:val="44"/>
          <w14:textFill>
            <w14:solidFill>
              <w14:schemeClr w14:val="tx1"/>
            </w14:solidFill>
          </w14:textFill>
        </w:rPr>
        <w:t>食品安全风险管控清单（保健食品生产）</w:t>
      </w:r>
      <w:bookmarkEnd w:id="3"/>
    </w:p>
    <w:p w14:paraId="3C35AB71">
      <w:pPr>
        <w:overflowPunct w:val="0"/>
        <w:topLinePunct/>
        <w:spacing w:line="320" w:lineRule="exact"/>
        <w:textAlignment w:val="center"/>
        <w:rPr>
          <w:rFonts w:ascii="Times New Roman" w:hAnsi="Times New Roman" w:eastAsia="仿宋_GB2312"/>
          <w:color w:val="000000" w:themeColor="text1"/>
          <w:sz w:val="24"/>
          <w14:textFill>
            <w14:solidFill>
              <w14:schemeClr w14:val="tx1"/>
            </w14:solidFill>
          </w14:textFill>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57" w:type="dxa"/>
          <w:bottom w:w="17" w:type="dxa"/>
          <w:right w:w="57" w:type="dxa"/>
        </w:tblCellMar>
      </w:tblPr>
      <w:tblGrid>
        <w:gridCol w:w="655"/>
        <w:gridCol w:w="656"/>
        <w:gridCol w:w="656"/>
        <w:gridCol w:w="973"/>
        <w:gridCol w:w="960"/>
        <w:gridCol w:w="2990"/>
        <w:gridCol w:w="3587"/>
        <w:gridCol w:w="1136"/>
        <w:gridCol w:w="1674"/>
        <w:gridCol w:w="717"/>
      </w:tblGrid>
      <w:tr w14:paraId="2E88D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50" w:hRule="atLeast"/>
          <w:tblHeader/>
          <w:jc w:val="center"/>
        </w:trPr>
        <w:tc>
          <w:tcPr>
            <w:tcW w:w="655" w:type="dxa"/>
            <w:tcMar>
              <w:top w:w="17" w:type="dxa"/>
              <w:left w:w="57" w:type="dxa"/>
              <w:bottom w:w="17" w:type="dxa"/>
              <w:right w:w="57" w:type="dxa"/>
            </w:tcMar>
            <w:vAlign w:val="center"/>
          </w:tcPr>
          <w:p w14:paraId="5212A44D">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食品类别</w:t>
            </w:r>
          </w:p>
        </w:tc>
        <w:tc>
          <w:tcPr>
            <w:tcW w:w="656" w:type="dxa"/>
            <w:tcMar>
              <w:top w:w="17" w:type="dxa"/>
              <w:left w:w="57" w:type="dxa"/>
              <w:bottom w:w="17" w:type="dxa"/>
              <w:right w:w="57" w:type="dxa"/>
            </w:tcMar>
            <w:vAlign w:val="center"/>
          </w:tcPr>
          <w:p w14:paraId="3AEB62C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类别</w:t>
            </w:r>
          </w:p>
          <w:p w14:paraId="4A48C79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名称</w:t>
            </w:r>
          </w:p>
        </w:tc>
        <w:tc>
          <w:tcPr>
            <w:tcW w:w="656" w:type="dxa"/>
            <w:tcMar>
              <w:top w:w="17" w:type="dxa"/>
              <w:left w:w="57" w:type="dxa"/>
              <w:bottom w:w="17" w:type="dxa"/>
              <w:right w:w="57" w:type="dxa"/>
            </w:tcMar>
            <w:vAlign w:val="center"/>
          </w:tcPr>
          <w:p w14:paraId="4C1A0EC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风险类型</w:t>
            </w:r>
          </w:p>
        </w:tc>
        <w:tc>
          <w:tcPr>
            <w:tcW w:w="973" w:type="dxa"/>
            <w:tcMar>
              <w:top w:w="17" w:type="dxa"/>
              <w:left w:w="57" w:type="dxa"/>
              <w:bottom w:w="17" w:type="dxa"/>
              <w:right w:w="57" w:type="dxa"/>
            </w:tcMar>
            <w:vAlign w:val="center"/>
          </w:tcPr>
          <w:p w14:paraId="5031F56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风险控制环节</w:t>
            </w:r>
          </w:p>
        </w:tc>
        <w:tc>
          <w:tcPr>
            <w:tcW w:w="960" w:type="dxa"/>
            <w:tcMar>
              <w:top w:w="17" w:type="dxa"/>
              <w:left w:w="57" w:type="dxa"/>
              <w:bottom w:w="17" w:type="dxa"/>
              <w:right w:w="57" w:type="dxa"/>
            </w:tcMar>
            <w:vAlign w:val="center"/>
          </w:tcPr>
          <w:p w14:paraId="61D8012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风险点</w:t>
            </w:r>
          </w:p>
        </w:tc>
        <w:tc>
          <w:tcPr>
            <w:tcW w:w="2990" w:type="dxa"/>
            <w:tcMar>
              <w:top w:w="17" w:type="dxa"/>
              <w:left w:w="57" w:type="dxa"/>
              <w:bottom w:w="17" w:type="dxa"/>
              <w:right w:w="57" w:type="dxa"/>
            </w:tcMar>
            <w:vAlign w:val="center"/>
          </w:tcPr>
          <w:p w14:paraId="4F6A524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风险描述</w:t>
            </w:r>
          </w:p>
        </w:tc>
        <w:tc>
          <w:tcPr>
            <w:tcW w:w="3587" w:type="dxa"/>
            <w:tcMar>
              <w:top w:w="17" w:type="dxa"/>
              <w:left w:w="57" w:type="dxa"/>
              <w:bottom w:w="17" w:type="dxa"/>
              <w:right w:w="57" w:type="dxa"/>
            </w:tcMar>
            <w:vAlign w:val="center"/>
          </w:tcPr>
          <w:p w14:paraId="272EDBD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管控措施</w:t>
            </w:r>
          </w:p>
        </w:tc>
        <w:tc>
          <w:tcPr>
            <w:tcW w:w="1136" w:type="dxa"/>
            <w:tcMar>
              <w:top w:w="17" w:type="dxa"/>
              <w:left w:w="57" w:type="dxa"/>
              <w:bottom w:w="17" w:type="dxa"/>
              <w:right w:w="57" w:type="dxa"/>
            </w:tcMar>
            <w:vAlign w:val="center"/>
          </w:tcPr>
          <w:p w14:paraId="3BF1DB72">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管控频次</w:t>
            </w:r>
          </w:p>
        </w:tc>
        <w:tc>
          <w:tcPr>
            <w:tcW w:w="1674" w:type="dxa"/>
            <w:tcMar>
              <w:top w:w="17" w:type="dxa"/>
              <w:left w:w="57" w:type="dxa"/>
              <w:bottom w:w="17" w:type="dxa"/>
              <w:right w:w="57" w:type="dxa"/>
            </w:tcMar>
            <w:vAlign w:val="center"/>
          </w:tcPr>
          <w:p w14:paraId="161F479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管控目标</w:t>
            </w:r>
          </w:p>
        </w:tc>
        <w:tc>
          <w:tcPr>
            <w:tcW w:w="717" w:type="dxa"/>
            <w:tcMar>
              <w:top w:w="17" w:type="dxa"/>
              <w:left w:w="57" w:type="dxa"/>
              <w:bottom w:w="17" w:type="dxa"/>
              <w:right w:w="57" w:type="dxa"/>
            </w:tcMar>
            <w:vAlign w:val="center"/>
          </w:tcPr>
          <w:p w14:paraId="0CF8C1F5">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Times New Roman" w:hAnsi="Times New Roman" w:eastAsia="黑体" w:cs="仿宋_GB2312"/>
                <w:bCs/>
                <w:color w:val="000000" w:themeColor="text1"/>
                <w:kern w:val="0"/>
                <w:sz w:val="24"/>
                <w:lang w:bidi="ar"/>
                <w14:textFill>
                  <w14:solidFill>
                    <w14:schemeClr w14:val="tx1"/>
                  </w14:solidFill>
                </w14:textFill>
              </w:rPr>
            </w:pPr>
            <w:r>
              <w:rPr>
                <w:rFonts w:hint="eastAsia" w:ascii="Times New Roman" w:hAnsi="Times New Roman" w:eastAsia="黑体" w:cs="仿宋_GB2312"/>
                <w:bCs/>
                <w:color w:val="000000" w:themeColor="text1"/>
                <w:kern w:val="0"/>
                <w:sz w:val="24"/>
                <w:lang w:bidi="ar"/>
                <w14:textFill>
                  <w14:solidFill>
                    <w14:schemeClr w14:val="tx1"/>
                  </w14:solidFill>
                </w14:textFill>
              </w:rPr>
              <w:t>责任人</w:t>
            </w:r>
          </w:p>
        </w:tc>
      </w:tr>
      <w:tr w14:paraId="73D0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776" w:hRule="atLeast"/>
          <w:jc w:val="center"/>
        </w:trPr>
        <w:tc>
          <w:tcPr>
            <w:tcW w:w="655" w:type="dxa"/>
            <w:tcMar>
              <w:top w:w="17" w:type="dxa"/>
              <w:left w:w="57" w:type="dxa"/>
              <w:bottom w:w="17" w:type="dxa"/>
              <w:right w:w="57" w:type="dxa"/>
            </w:tcMar>
            <w:vAlign w:val="center"/>
          </w:tcPr>
          <w:p w14:paraId="5CC6171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74AAE6D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类别名称详见说明</w:t>
            </w:r>
          </w:p>
        </w:tc>
        <w:tc>
          <w:tcPr>
            <w:tcW w:w="656" w:type="dxa"/>
            <w:tcMar>
              <w:top w:w="17" w:type="dxa"/>
              <w:left w:w="57" w:type="dxa"/>
              <w:bottom w:w="17" w:type="dxa"/>
              <w:right w:w="57" w:type="dxa"/>
            </w:tcMar>
            <w:vAlign w:val="center"/>
          </w:tcPr>
          <w:p w14:paraId="061B410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03A4450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生产者资质</w:t>
            </w:r>
          </w:p>
        </w:tc>
        <w:tc>
          <w:tcPr>
            <w:tcW w:w="960" w:type="dxa"/>
            <w:tcMar>
              <w:top w:w="17" w:type="dxa"/>
              <w:left w:w="57" w:type="dxa"/>
              <w:bottom w:w="17" w:type="dxa"/>
              <w:right w:w="57" w:type="dxa"/>
            </w:tcMar>
            <w:vAlign w:val="center"/>
          </w:tcPr>
          <w:p w14:paraId="45C07D3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食品生产许可证的延续、变更、增项等</w:t>
            </w:r>
          </w:p>
        </w:tc>
        <w:tc>
          <w:tcPr>
            <w:tcW w:w="2990" w:type="dxa"/>
            <w:tcMar>
              <w:top w:w="17" w:type="dxa"/>
              <w:left w:w="57" w:type="dxa"/>
              <w:bottom w:w="17" w:type="dxa"/>
              <w:right w:w="57" w:type="dxa"/>
            </w:tcMar>
            <w:vAlign w:val="center"/>
          </w:tcPr>
          <w:p w14:paraId="5F5F78C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1.营业执照、食品生产许可证超过有效期仍进行生产。</w:t>
            </w:r>
          </w:p>
          <w:p w14:paraId="5021029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2.生产的保健食品及原料提取物、复配营养素等不在《食品生产许可证》许可类别和明细范围内。</w:t>
            </w:r>
          </w:p>
          <w:p w14:paraId="1FF32D5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3.设备布局和工艺流程、主要生产设备设施发生变化，未按规定进行许可变更。</w:t>
            </w:r>
          </w:p>
        </w:tc>
        <w:tc>
          <w:tcPr>
            <w:tcW w:w="3587" w:type="dxa"/>
            <w:tcMar>
              <w:top w:w="17" w:type="dxa"/>
              <w:left w:w="57" w:type="dxa"/>
              <w:bottom w:w="17" w:type="dxa"/>
              <w:right w:w="57" w:type="dxa"/>
            </w:tcMar>
            <w:vAlign w:val="center"/>
          </w:tcPr>
          <w:p w14:paraId="299CD19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1.建立自查制度，及时对证照进行延续，确保食品生产许可资质在有效期内。</w:t>
            </w:r>
          </w:p>
          <w:p w14:paraId="7E7F809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2.提升食品安全主体责任意识，学习食品安全法律法规。</w:t>
            </w:r>
          </w:p>
          <w:p w14:paraId="128FFB0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3.依法组织生产，严格按照规定在许可范围内从事食品生产活动。</w:t>
            </w:r>
          </w:p>
          <w:p w14:paraId="20D9C34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4.变更生产许可证载明事项的以及变更工艺设备布局、主要生产设施设备，影响保健食品产品质量安全的，在变化后10个工作日内提出变更申请。</w:t>
            </w:r>
          </w:p>
        </w:tc>
        <w:tc>
          <w:tcPr>
            <w:tcW w:w="1136" w:type="dxa"/>
            <w:tcMar>
              <w:top w:w="17" w:type="dxa"/>
              <w:left w:w="57" w:type="dxa"/>
              <w:bottom w:w="17" w:type="dxa"/>
              <w:right w:w="57" w:type="dxa"/>
            </w:tcMar>
            <w:vAlign w:val="center"/>
          </w:tcPr>
          <w:p w14:paraId="5E0270F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每年/发生变更时</w:t>
            </w:r>
          </w:p>
        </w:tc>
        <w:tc>
          <w:tcPr>
            <w:tcW w:w="1674" w:type="dxa"/>
            <w:tcMar>
              <w:top w:w="17" w:type="dxa"/>
              <w:left w:w="57" w:type="dxa"/>
              <w:bottom w:w="17" w:type="dxa"/>
              <w:right w:w="57" w:type="dxa"/>
            </w:tcMar>
            <w:vAlign w:val="center"/>
          </w:tcPr>
          <w:p w14:paraId="716DFFF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符合《食品生产许可管理办法》《保健食品生产许可审查细则》要求</w:t>
            </w:r>
          </w:p>
        </w:tc>
        <w:tc>
          <w:tcPr>
            <w:tcW w:w="717" w:type="dxa"/>
            <w:tcMar>
              <w:top w:w="17" w:type="dxa"/>
              <w:left w:w="57" w:type="dxa"/>
              <w:bottom w:w="17" w:type="dxa"/>
              <w:right w:w="57" w:type="dxa"/>
            </w:tcMar>
            <w:vAlign w:val="center"/>
          </w:tcPr>
          <w:p w14:paraId="39A4BE1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2C10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2010" w:hRule="atLeast"/>
          <w:jc w:val="center"/>
        </w:trPr>
        <w:tc>
          <w:tcPr>
            <w:tcW w:w="655" w:type="dxa"/>
            <w:tcMar>
              <w:top w:w="17" w:type="dxa"/>
              <w:left w:w="57" w:type="dxa"/>
              <w:bottom w:w="17" w:type="dxa"/>
              <w:right w:w="57" w:type="dxa"/>
            </w:tcMar>
            <w:vAlign w:val="center"/>
          </w:tcPr>
          <w:p w14:paraId="32D1D0C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58AF47B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5D77697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3E860CC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生产者资质</w:t>
            </w:r>
          </w:p>
        </w:tc>
        <w:tc>
          <w:tcPr>
            <w:tcW w:w="960" w:type="dxa"/>
            <w:tcMar>
              <w:top w:w="17" w:type="dxa"/>
              <w:left w:w="57" w:type="dxa"/>
              <w:bottom w:w="17" w:type="dxa"/>
              <w:right w:w="57" w:type="dxa"/>
            </w:tcMar>
            <w:vAlign w:val="center"/>
          </w:tcPr>
          <w:p w14:paraId="1B06CA9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产品注册备案事项</w:t>
            </w:r>
          </w:p>
        </w:tc>
        <w:tc>
          <w:tcPr>
            <w:tcW w:w="2990" w:type="dxa"/>
            <w:tcMar>
              <w:top w:w="17" w:type="dxa"/>
              <w:left w:w="57" w:type="dxa"/>
              <w:bottom w:w="17" w:type="dxa"/>
              <w:right w:w="57" w:type="dxa"/>
            </w:tcMar>
            <w:vAlign w:val="center"/>
          </w:tcPr>
          <w:p w14:paraId="3444307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标识为保健食品的产品未按规定注册或备案，保健食品注册证书或备案凭证超过有效期或失效。</w:t>
            </w:r>
          </w:p>
        </w:tc>
        <w:tc>
          <w:tcPr>
            <w:tcW w:w="3587" w:type="dxa"/>
            <w:tcMar>
              <w:top w:w="17" w:type="dxa"/>
              <w:left w:w="57" w:type="dxa"/>
              <w:bottom w:w="17" w:type="dxa"/>
              <w:right w:w="57" w:type="dxa"/>
            </w:tcMar>
            <w:vAlign w:val="center"/>
          </w:tcPr>
          <w:p w14:paraId="3DA478E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1.所生产的保健食品持有效注册证书或备案凭证，或其他有效证明。</w:t>
            </w:r>
          </w:p>
          <w:p w14:paraId="7A139A5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2.产品注册证书或备案凭证及其附件中载明的内容发生变更的，按规定履行变更手续。</w:t>
            </w:r>
          </w:p>
        </w:tc>
        <w:tc>
          <w:tcPr>
            <w:tcW w:w="1136" w:type="dxa"/>
            <w:tcMar>
              <w:top w:w="17" w:type="dxa"/>
              <w:left w:w="57" w:type="dxa"/>
              <w:bottom w:w="17" w:type="dxa"/>
              <w:right w:w="57" w:type="dxa"/>
            </w:tcMar>
            <w:vAlign w:val="center"/>
          </w:tcPr>
          <w:p w14:paraId="1192BC8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每年/发生变更时</w:t>
            </w:r>
          </w:p>
        </w:tc>
        <w:tc>
          <w:tcPr>
            <w:tcW w:w="1674" w:type="dxa"/>
            <w:tcMar>
              <w:top w:w="17" w:type="dxa"/>
              <w:left w:w="57" w:type="dxa"/>
              <w:bottom w:w="17" w:type="dxa"/>
              <w:right w:w="57" w:type="dxa"/>
            </w:tcMar>
            <w:vAlign w:val="center"/>
          </w:tcPr>
          <w:p w14:paraId="0A1A4B5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符合《食品生产许可管理办法》《保健食品生产许可审查细则》要求</w:t>
            </w:r>
          </w:p>
        </w:tc>
        <w:tc>
          <w:tcPr>
            <w:tcW w:w="717" w:type="dxa"/>
            <w:tcMar>
              <w:top w:w="17" w:type="dxa"/>
              <w:left w:w="57" w:type="dxa"/>
              <w:bottom w:w="17" w:type="dxa"/>
              <w:right w:w="57" w:type="dxa"/>
            </w:tcMar>
            <w:vAlign w:val="center"/>
          </w:tcPr>
          <w:p w14:paraId="4108BE9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7587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65" w:hRule="atLeast"/>
          <w:jc w:val="center"/>
        </w:trPr>
        <w:tc>
          <w:tcPr>
            <w:tcW w:w="655" w:type="dxa"/>
            <w:tcMar>
              <w:top w:w="17" w:type="dxa"/>
              <w:left w:w="57" w:type="dxa"/>
              <w:bottom w:w="17" w:type="dxa"/>
              <w:right w:w="57" w:type="dxa"/>
            </w:tcMar>
            <w:vAlign w:val="center"/>
          </w:tcPr>
          <w:p w14:paraId="37DAC5B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53B8196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359384B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4162EF6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厂区环境</w:t>
            </w:r>
          </w:p>
        </w:tc>
        <w:tc>
          <w:tcPr>
            <w:tcW w:w="960" w:type="dxa"/>
            <w:tcMar>
              <w:top w:w="17" w:type="dxa"/>
              <w:left w:w="57" w:type="dxa"/>
              <w:bottom w:w="17" w:type="dxa"/>
              <w:right w:w="57" w:type="dxa"/>
            </w:tcMar>
            <w:vAlign w:val="center"/>
          </w:tcPr>
          <w:p w14:paraId="5DAEF95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有毒有害物污染</w:t>
            </w:r>
          </w:p>
        </w:tc>
        <w:tc>
          <w:tcPr>
            <w:tcW w:w="2990" w:type="dxa"/>
            <w:tcMar>
              <w:top w:w="17" w:type="dxa"/>
              <w:left w:w="57" w:type="dxa"/>
              <w:bottom w:w="17" w:type="dxa"/>
              <w:right w:w="57" w:type="dxa"/>
            </w:tcMar>
            <w:vAlign w:val="center"/>
          </w:tcPr>
          <w:p w14:paraId="568063E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厂区、车间与有毒、有害场所及其他污染源未保持规定的距离，或无有效防范措施。</w:t>
            </w:r>
          </w:p>
        </w:tc>
        <w:tc>
          <w:tcPr>
            <w:tcW w:w="3587" w:type="dxa"/>
            <w:tcMar>
              <w:top w:w="17" w:type="dxa"/>
              <w:left w:w="57" w:type="dxa"/>
              <w:bottom w:w="17" w:type="dxa"/>
              <w:right w:w="57" w:type="dxa"/>
            </w:tcMar>
            <w:vAlign w:val="center"/>
          </w:tcPr>
          <w:p w14:paraId="0010A1E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1.废弃物存放区域远离生产车间，生产过程的废弃物每日运送至废弃物存放区域，存放废弃物的容器应标识清晰，有效防护。</w:t>
            </w:r>
          </w:p>
          <w:p w14:paraId="5127D46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2.废弃物定期处理，并检查处理情况，有特殊要求的废弃物其处理方式应符合有关规定。</w:t>
            </w:r>
          </w:p>
        </w:tc>
        <w:tc>
          <w:tcPr>
            <w:tcW w:w="1136" w:type="dxa"/>
            <w:tcMar>
              <w:top w:w="17" w:type="dxa"/>
              <w:left w:w="57" w:type="dxa"/>
              <w:bottom w:w="17" w:type="dxa"/>
              <w:right w:w="57" w:type="dxa"/>
            </w:tcMar>
            <w:vAlign w:val="center"/>
          </w:tcPr>
          <w:p w14:paraId="7013459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每周</w:t>
            </w:r>
          </w:p>
        </w:tc>
        <w:tc>
          <w:tcPr>
            <w:tcW w:w="1674" w:type="dxa"/>
            <w:tcMar>
              <w:top w:w="17" w:type="dxa"/>
              <w:left w:w="57" w:type="dxa"/>
              <w:bottom w:w="17" w:type="dxa"/>
              <w:right w:w="57" w:type="dxa"/>
            </w:tcMar>
            <w:vAlign w:val="center"/>
          </w:tcPr>
          <w:p w14:paraId="4A659FA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符合GB 14881和内控要求</w:t>
            </w:r>
          </w:p>
        </w:tc>
        <w:tc>
          <w:tcPr>
            <w:tcW w:w="717" w:type="dxa"/>
            <w:tcMar>
              <w:top w:w="17" w:type="dxa"/>
              <w:left w:w="57" w:type="dxa"/>
              <w:bottom w:w="17" w:type="dxa"/>
              <w:right w:w="57" w:type="dxa"/>
            </w:tcMar>
            <w:vAlign w:val="center"/>
          </w:tcPr>
          <w:p w14:paraId="0D82130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899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5624897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55FE825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56BE347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0A50CAA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虫鼠害防控</w:t>
            </w:r>
          </w:p>
        </w:tc>
        <w:tc>
          <w:tcPr>
            <w:tcW w:w="960" w:type="dxa"/>
            <w:tcMar>
              <w:top w:w="17" w:type="dxa"/>
              <w:left w:w="57" w:type="dxa"/>
              <w:bottom w:w="17" w:type="dxa"/>
              <w:right w:w="57" w:type="dxa"/>
            </w:tcMar>
            <w:vAlign w:val="center"/>
          </w:tcPr>
          <w:p w14:paraId="1FC3667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生物污染</w:t>
            </w:r>
          </w:p>
        </w:tc>
        <w:tc>
          <w:tcPr>
            <w:tcW w:w="2990" w:type="dxa"/>
            <w:tcMar>
              <w:top w:w="17" w:type="dxa"/>
              <w:left w:w="57" w:type="dxa"/>
              <w:bottom w:w="17" w:type="dxa"/>
              <w:right w:w="57" w:type="dxa"/>
            </w:tcMar>
            <w:vAlign w:val="center"/>
          </w:tcPr>
          <w:p w14:paraId="6A829AE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1.虫鼠害从外部进入生产车间或库房。</w:t>
            </w:r>
          </w:p>
          <w:p w14:paraId="7B02C88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2.未充分分析虫害来源，未能做好预防虫害的预防管理。</w:t>
            </w:r>
          </w:p>
        </w:tc>
        <w:tc>
          <w:tcPr>
            <w:tcW w:w="3587" w:type="dxa"/>
            <w:tcMar>
              <w:top w:w="17" w:type="dxa"/>
              <w:left w:w="57" w:type="dxa"/>
              <w:bottom w:w="17" w:type="dxa"/>
              <w:right w:w="57" w:type="dxa"/>
            </w:tcMar>
            <w:vAlign w:val="center"/>
          </w:tcPr>
          <w:p w14:paraId="6851A8B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1.外部与生产区域相通的门加装风幕或门帘、挡鼠板，窗户安装纱窗，生产车间内安装地漏、通风管道安装防鼠网，库房内设置挡鼠板、粘鼠板、防蝇灯等防虫、防鼠设施并做好维护。</w:t>
            </w:r>
          </w:p>
          <w:p w14:paraId="21E5E59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2.降低车间内部吸引因素，如：可引起再污染的灭蝇灯（如电击式灭蝇灯）、未得到有效清洁的环境等。</w:t>
            </w:r>
          </w:p>
          <w:p w14:paraId="58AB99C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3.安装粘捕式灭蝇灯，定期更换粘纸并记录粘捕昆虫的数量和种类，分析其来源，实施预防管控措施。</w:t>
            </w:r>
          </w:p>
          <w:p w14:paraId="2B66FF88">
            <w:pPr>
              <w:pStyle w:val="7"/>
              <w:keepNext w:val="0"/>
              <w:keepLines w:val="0"/>
              <w:pageBreakBefore w:val="0"/>
              <w:widowControl w:val="0"/>
              <w:kinsoku/>
              <w:wordWrap/>
              <w:overflowPunct w:val="0"/>
              <w:topLinePunct w:val="0"/>
              <w:autoSpaceDE/>
              <w:autoSpaceDN/>
              <w:bidi w:val="0"/>
              <w:adjustRightInd w:val="0"/>
              <w:snapToGrid w:val="0"/>
              <w:spacing w:after="0" w:line="300" w:lineRule="exact"/>
              <w:jc w:val="both"/>
              <w:textAlignment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4.虫</w:t>
            </w:r>
            <w:r>
              <w:rPr>
                <w:rFonts w:hint="eastAsia" w:ascii="Times New Roman" w:hAnsi="Times New Roman" w:eastAsia="仿宋_GB2312" w:cs="仿宋_GB2312"/>
                <w:color w:val="000000" w:themeColor="text1"/>
                <w:spacing w:val="-6"/>
                <w:kern w:val="0"/>
                <w:sz w:val="24"/>
                <w:lang w:bidi="ar"/>
                <w14:textFill>
                  <w14:solidFill>
                    <w14:schemeClr w14:val="tx1"/>
                  </w14:solidFill>
                </w14:textFill>
              </w:rPr>
              <w:t>害防治由第三方完成的，对第三方进行监督，对虫害监控结果的异常情况追查其来源并进行分析。</w:t>
            </w:r>
          </w:p>
        </w:tc>
        <w:tc>
          <w:tcPr>
            <w:tcW w:w="1136" w:type="dxa"/>
            <w:tcMar>
              <w:top w:w="17" w:type="dxa"/>
              <w:left w:w="57" w:type="dxa"/>
              <w:bottom w:w="17" w:type="dxa"/>
              <w:right w:w="57" w:type="dxa"/>
            </w:tcMar>
            <w:vAlign w:val="center"/>
          </w:tcPr>
          <w:p w14:paraId="24665AF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每周</w:t>
            </w:r>
          </w:p>
        </w:tc>
        <w:tc>
          <w:tcPr>
            <w:tcW w:w="1674" w:type="dxa"/>
            <w:tcMar>
              <w:top w:w="17" w:type="dxa"/>
              <w:left w:w="57" w:type="dxa"/>
              <w:bottom w:w="17" w:type="dxa"/>
              <w:right w:w="57" w:type="dxa"/>
            </w:tcMar>
            <w:vAlign w:val="center"/>
          </w:tcPr>
          <w:p w14:paraId="5FA9C65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14881和内控要求</w:t>
            </w:r>
          </w:p>
        </w:tc>
        <w:tc>
          <w:tcPr>
            <w:tcW w:w="717" w:type="dxa"/>
            <w:tcMar>
              <w:top w:w="17" w:type="dxa"/>
              <w:left w:w="57" w:type="dxa"/>
              <w:bottom w:w="17" w:type="dxa"/>
              <w:right w:w="57" w:type="dxa"/>
            </w:tcMar>
            <w:vAlign w:val="center"/>
          </w:tcPr>
          <w:p w14:paraId="563CF9B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1A5C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177" w:hRule="atLeast"/>
          <w:jc w:val="center"/>
        </w:trPr>
        <w:tc>
          <w:tcPr>
            <w:tcW w:w="655" w:type="dxa"/>
            <w:tcMar>
              <w:top w:w="17" w:type="dxa"/>
              <w:left w:w="57" w:type="dxa"/>
              <w:bottom w:w="17" w:type="dxa"/>
              <w:right w:w="57" w:type="dxa"/>
            </w:tcMar>
            <w:vAlign w:val="center"/>
          </w:tcPr>
          <w:p w14:paraId="60BF69C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15B3764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5C8016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0AE47FA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车间环境</w:t>
            </w:r>
          </w:p>
        </w:tc>
        <w:tc>
          <w:tcPr>
            <w:tcW w:w="960" w:type="dxa"/>
            <w:tcMar>
              <w:top w:w="17" w:type="dxa"/>
              <w:left w:w="57" w:type="dxa"/>
              <w:bottom w:w="17" w:type="dxa"/>
              <w:right w:w="57" w:type="dxa"/>
            </w:tcMar>
            <w:vAlign w:val="center"/>
          </w:tcPr>
          <w:p w14:paraId="0A050A8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人流、物流交叉污染</w:t>
            </w:r>
          </w:p>
        </w:tc>
        <w:tc>
          <w:tcPr>
            <w:tcW w:w="2990" w:type="dxa"/>
            <w:tcMar>
              <w:top w:w="17" w:type="dxa"/>
              <w:left w:w="57" w:type="dxa"/>
              <w:bottom w:w="17" w:type="dxa"/>
              <w:right w:w="57" w:type="dxa"/>
            </w:tcMar>
            <w:vAlign w:val="center"/>
          </w:tcPr>
          <w:p w14:paraId="725317D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1.洁净车间人流、物流通道缓冲区联锁装置失效。</w:t>
            </w:r>
          </w:p>
          <w:p w14:paraId="040DDB8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2.人员洗手、干手、消毒设施不能正常使用。</w:t>
            </w:r>
          </w:p>
          <w:p w14:paraId="34D1CAE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3.物料缓冲和清洁设施不能正常使用。</w:t>
            </w:r>
          </w:p>
          <w:p w14:paraId="043A92F0">
            <w:pPr>
              <w:pStyle w:val="7"/>
              <w:keepNext w:val="0"/>
              <w:keepLines w:val="0"/>
              <w:pageBreakBefore w:val="0"/>
              <w:widowControl w:val="0"/>
              <w:kinsoku/>
              <w:wordWrap/>
              <w:overflowPunct w:val="0"/>
              <w:topLinePunct w:val="0"/>
              <w:autoSpaceDE/>
              <w:autoSpaceDN/>
              <w:bidi w:val="0"/>
              <w:adjustRightInd w:val="0"/>
              <w:snapToGrid w:val="0"/>
              <w:spacing w:after="0" w:line="300" w:lineRule="exact"/>
              <w:jc w:val="both"/>
              <w:textAlignment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4.消毒用酒精过期失效。</w:t>
            </w:r>
          </w:p>
        </w:tc>
        <w:tc>
          <w:tcPr>
            <w:tcW w:w="3587" w:type="dxa"/>
            <w:tcMar>
              <w:top w:w="17" w:type="dxa"/>
              <w:left w:w="57" w:type="dxa"/>
              <w:bottom w:w="17" w:type="dxa"/>
              <w:right w:w="57" w:type="dxa"/>
            </w:tcMar>
            <w:vAlign w:val="center"/>
          </w:tcPr>
          <w:p w14:paraId="06840A5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1.人流、物流通道缓冲区要</w:t>
            </w:r>
            <w:r>
              <w:rPr>
                <w:rFonts w:hint="eastAsia" w:ascii="Times New Roman" w:hAnsi="Times New Roman" w:eastAsia="仿宋_GB2312" w:cs="仿宋_GB2312"/>
                <w:color w:val="000000" w:themeColor="text1"/>
                <w:kern w:val="0"/>
                <w:sz w:val="24"/>
                <w:lang w:bidi="ar"/>
                <w14:textFill>
                  <w14:solidFill>
                    <w14:schemeClr w14:val="tx1"/>
                  </w14:solidFill>
                </w14:textFill>
              </w:rPr>
              <w:t>有联锁装置并有效运行。</w:t>
            </w:r>
          </w:p>
          <w:p w14:paraId="27C5EC2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2.人流通道的更衣设施要与生产量或工作人员数量相匹配，工作服与个人服装及其他物品分开放置，洗手、干手、消毒设施能正常使用。</w:t>
            </w:r>
          </w:p>
          <w:p w14:paraId="73C58DB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3.物流通道的缓冲和清洁设施能正常使用，对物料消毒的紫外灯的使用寿命采取有效管控措施。</w:t>
            </w:r>
          </w:p>
          <w:p w14:paraId="4A87FA73">
            <w:pPr>
              <w:pStyle w:val="7"/>
              <w:keepNext w:val="0"/>
              <w:keepLines w:val="0"/>
              <w:pageBreakBefore w:val="0"/>
              <w:widowControl w:val="0"/>
              <w:kinsoku/>
              <w:wordWrap/>
              <w:overflowPunct w:val="0"/>
              <w:topLinePunct w:val="0"/>
              <w:autoSpaceDE/>
              <w:autoSpaceDN/>
              <w:bidi w:val="0"/>
              <w:adjustRightInd w:val="0"/>
              <w:snapToGrid w:val="0"/>
              <w:spacing w:after="0" w:line="300" w:lineRule="exact"/>
              <w:jc w:val="both"/>
              <w:textAlignment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4.在手消毒及已配制的酒精容器上粘贴酒精配制日期及有效期标签并进行检查。</w:t>
            </w:r>
          </w:p>
        </w:tc>
        <w:tc>
          <w:tcPr>
            <w:tcW w:w="1136" w:type="dxa"/>
            <w:tcMar>
              <w:top w:w="17" w:type="dxa"/>
              <w:left w:w="57" w:type="dxa"/>
              <w:bottom w:w="17" w:type="dxa"/>
              <w:right w:w="57" w:type="dxa"/>
            </w:tcMar>
            <w:vAlign w:val="center"/>
          </w:tcPr>
          <w:p w14:paraId="786770E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每周</w:t>
            </w:r>
          </w:p>
        </w:tc>
        <w:tc>
          <w:tcPr>
            <w:tcW w:w="1674" w:type="dxa"/>
            <w:tcMar>
              <w:top w:w="17" w:type="dxa"/>
              <w:left w:w="57" w:type="dxa"/>
              <w:bottom w:w="17" w:type="dxa"/>
              <w:right w:w="57" w:type="dxa"/>
            </w:tcMar>
            <w:vAlign w:val="center"/>
          </w:tcPr>
          <w:p w14:paraId="6FD37D3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14881要求</w:t>
            </w:r>
          </w:p>
        </w:tc>
        <w:tc>
          <w:tcPr>
            <w:tcW w:w="717" w:type="dxa"/>
            <w:tcMar>
              <w:top w:w="17" w:type="dxa"/>
              <w:left w:w="57" w:type="dxa"/>
              <w:bottom w:w="17" w:type="dxa"/>
              <w:right w:w="57" w:type="dxa"/>
            </w:tcMar>
            <w:vAlign w:val="center"/>
          </w:tcPr>
          <w:p w14:paraId="321E5CA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33BC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146" w:hRule="atLeast"/>
          <w:jc w:val="center"/>
        </w:trPr>
        <w:tc>
          <w:tcPr>
            <w:tcW w:w="655" w:type="dxa"/>
            <w:tcMar>
              <w:top w:w="17" w:type="dxa"/>
              <w:left w:w="57" w:type="dxa"/>
              <w:bottom w:w="17" w:type="dxa"/>
              <w:right w:w="57" w:type="dxa"/>
            </w:tcMar>
            <w:vAlign w:val="center"/>
          </w:tcPr>
          <w:p w14:paraId="754D9DF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77097DB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4EDCE8B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36E6744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车间环境</w:t>
            </w:r>
          </w:p>
        </w:tc>
        <w:tc>
          <w:tcPr>
            <w:tcW w:w="960" w:type="dxa"/>
            <w:tcMar>
              <w:top w:w="17" w:type="dxa"/>
              <w:left w:w="57" w:type="dxa"/>
              <w:bottom w:w="17" w:type="dxa"/>
              <w:right w:w="57" w:type="dxa"/>
            </w:tcMar>
            <w:vAlign w:val="center"/>
          </w:tcPr>
          <w:p w14:paraId="38DC6AA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车间基础设施不完善引发的污染</w:t>
            </w:r>
          </w:p>
        </w:tc>
        <w:tc>
          <w:tcPr>
            <w:tcW w:w="2990" w:type="dxa"/>
            <w:tcMar>
              <w:top w:w="17" w:type="dxa"/>
              <w:left w:w="57" w:type="dxa"/>
              <w:bottom w:w="17" w:type="dxa"/>
              <w:right w:w="57" w:type="dxa"/>
            </w:tcMar>
            <w:vAlign w:val="center"/>
          </w:tcPr>
          <w:p w14:paraId="06F5580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1.生产车间内部破损和不易清洁处，容易滋生微生物，增加环境污染的风险。</w:t>
            </w:r>
          </w:p>
          <w:p w14:paraId="6EE6604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2.进入室内的管道与墙壁或天棚的连接部位未处于密封状态，导致污染。</w:t>
            </w:r>
          </w:p>
        </w:tc>
        <w:tc>
          <w:tcPr>
            <w:tcW w:w="3587" w:type="dxa"/>
            <w:tcMar>
              <w:top w:w="17" w:type="dxa"/>
              <w:left w:w="57" w:type="dxa"/>
              <w:bottom w:w="17" w:type="dxa"/>
              <w:right w:w="57" w:type="dxa"/>
            </w:tcMar>
            <w:vAlign w:val="center"/>
          </w:tcPr>
          <w:p w14:paraId="470EF54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1.建立车间基础设施管理制度，按照制度定期检查，对不符合要求的，及时维修、维护。</w:t>
            </w:r>
          </w:p>
          <w:p w14:paraId="565AF67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2.对破损处、缝隙、夹层的清洁消毒要彻底。</w:t>
            </w:r>
          </w:p>
          <w:p w14:paraId="4DD4477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kern w:val="0"/>
                <w:sz w:val="24"/>
                <w:lang w:bidi="ar"/>
                <w14:textFill>
                  <w14:solidFill>
                    <w14:schemeClr w14:val="tx1"/>
                  </w14:solidFill>
                </w14:textFill>
              </w:rPr>
            </w:pPr>
            <w:r>
              <w:rPr>
                <w:rFonts w:hint="eastAsia" w:ascii="Times New Roman" w:hAnsi="Times New Roman" w:eastAsia="仿宋_GB2312" w:cs="仿宋_GB2312"/>
                <w:color w:val="000000" w:themeColor="text1"/>
                <w:kern w:val="0"/>
                <w:sz w:val="24"/>
                <w:lang w:bidi="ar"/>
                <w14:textFill>
                  <w14:solidFill>
                    <w14:schemeClr w14:val="tx1"/>
                  </w14:solidFill>
                </w14:textFill>
              </w:rPr>
              <w:t>3.必要时对破损及不易清洁处进行环境微生物监测。</w:t>
            </w:r>
          </w:p>
          <w:p w14:paraId="547D523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4.窗户、天棚、进入室内的管道与墙壁或天棚连接处要密封严密。</w:t>
            </w:r>
          </w:p>
        </w:tc>
        <w:tc>
          <w:tcPr>
            <w:tcW w:w="1136" w:type="dxa"/>
            <w:tcMar>
              <w:top w:w="17" w:type="dxa"/>
              <w:left w:w="57" w:type="dxa"/>
              <w:bottom w:w="17" w:type="dxa"/>
              <w:right w:w="57" w:type="dxa"/>
            </w:tcMar>
            <w:vAlign w:val="center"/>
          </w:tcPr>
          <w:p w14:paraId="437FB97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每月</w:t>
            </w:r>
          </w:p>
        </w:tc>
        <w:tc>
          <w:tcPr>
            <w:tcW w:w="1674" w:type="dxa"/>
            <w:tcMar>
              <w:top w:w="17" w:type="dxa"/>
              <w:left w:w="57" w:type="dxa"/>
              <w:bottom w:w="17" w:type="dxa"/>
              <w:right w:w="57" w:type="dxa"/>
            </w:tcMar>
            <w:vAlign w:val="center"/>
          </w:tcPr>
          <w:p w14:paraId="45739B7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14881要求</w:t>
            </w:r>
          </w:p>
        </w:tc>
        <w:tc>
          <w:tcPr>
            <w:tcW w:w="717" w:type="dxa"/>
            <w:tcMar>
              <w:top w:w="17" w:type="dxa"/>
              <w:left w:w="57" w:type="dxa"/>
              <w:bottom w:w="17" w:type="dxa"/>
              <w:right w:w="57" w:type="dxa"/>
            </w:tcMar>
            <w:vAlign w:val="center"/>
          </w:tcPr>
          <w:p w14:paraId="0D1D5AE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16DC0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1374F4B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27DB0BA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46B5CB5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259242A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车间环境</w:t>
            </w:r>
          </w:p>
        </w:tc>
        <w:tc>
          <w:tcPr>
            <w:tcW w:w="960" w:type="dxa"/>
            <w:tcMar>
              <w:top w:w="17" w:type="dxa"/>
              <w:left w:w="57" w:type="dxa"/>
              <w:bottom w:w="17" w:type="dxa"/>
              <w:right w:w="57" w:type="dxa"/>
            </w:tcMar>
            <w:vAlign w:val="center"/>
          </w:tcPr>
          <w:p w14:paraId="00C92EB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管道污染</w:t>
            </w:r>
          </w:p>
        </w:tc>
        <w:tc>
          <w:tcPr>
            <w:tcW w:w="2990" w:type="dxa"/>
            <w:tcMar>
              <w:top w:w="17" w:type="dxa"/>
              <w:left w:w="57" w:type="dxa"/>
              <w:bottom w:w="17" w:type="dxa"/>
              <w:right w:w="57" w:type="dxa"/>
            </w:tcMar>
            <w:vAlign w:val="center"/>
          </w:tcPr>
          <w:p w14:paraId="5B7DA43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管道存在死角和盲管，不便于清洁，容易滋生微生物。</w:t>
            </w:r>
          </w:p>
        </w:tc>
        <w:tc>
          <w:tcPr>
            <w:tcW w:w="3587" w:type="dxa"/>
            <w:tcMar>
              <w:top w:w="17" w:type="dxa"/>
              <w:left w:w="57" w:type="dxa"/>
              <w:bottom w:w="17" w:type="dxa"/>
              <w:right w:w="57" w:type="dxa"/>
            </w:tcMar>
            <w:vAlign w:val="center"/>
          </w:tcPr>
          <w:p w14:paraId="3FC51A7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管道设计安装避免死角和盲管，确实无法避免的，应便于拆装清洁。</w:t>
            </w:r>
          </w:p>
        </w:tc>
        <w:tc>
          <w:tcPr>
            <w:tcW w:w="1136" w:type="dxa"/>
            <w:tcMar>
              <w:top w:w="17" w:type="dxa"/>
              <w:left w:w="57" w:type="dxa"/>
              <w:bottom w:w="17" w:type="dxa"/>
              <w:right w:w="57" w:type="dxa"/>
            </w:tcMar>
            <w:vAlign w:val="center"/>
          </w:tcPr>
          <w:p w14:paraId="1E2EC7C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每月</w:t>
            </w:r>
          </w:p>
        </w:tc>
        <w:tc>
          <w:tcPr>
            <w:tcW w:w="1674" w:type="dxa"/>
            <w:tcMar>
              <w:top w:w="17" w:type="dxa"/>
              <w:left w:w="57" w:type="dxa"/>
              <w:bottom w:w="17" w:type="dxa"/>
              <w:right w:w="57" w:type="dxa"/>
            </w:tcMar>
            <w:vAlign w:val="center"/>
          </w:tcPr>
          <w:p w14:paraId="3215C4B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符合《保健食品生产许可审查细则》要求</w:t>
            </w:r>
          </w:p>
        </w:tc>
        <w:tc>
          <w:tcPr>
            <w:tcW w:w="717" w:type="dxa"/>
            <w:tcMar>
              <w:top w:w="17" w:type="dxa"/>
              <w:left w:w="57" w:type="dxa"/>
              <w:bottom w:w="17" w:type="dxa"/>
              <w:right w:w="57" w:type="dxa"/>
            </w:tcMar>
            <w:vAlign w:val="center"/>
          </w:tcPr>
          <w:p w14:paraId="35872E4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1F7D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878" w:hRule="atLeast"/>
          <w:jc w:val="center"/>
        </w:trPr>
        <w:tc>
          <w:tcPr>
            <w:tcW w:w="655" w:type="dxa"/>
            <w:tcMar>
              <w:top w:w="17" w:type="dxa"/>
              <w:left w:w="57" w:type="dxa"/>
              <w:bottom w:w="17" w:type="dxa"/>
              <w:right w:w="57" w:type="dxa"/>
            </w:tcMar>
            <w:vAlign w:val="center"/>
          </w:tcPr>
          <w:p w14:paraId="21D63EE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43F4DB2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6BF8E99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62D9443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车间环境</w:t>
            </w:r>
          </w:p>
        </w:tc>
        <w:tc>
          <w:tcPr>
            <w:tcW w:w="960" w:type="dxa"/>
            <w:tcMar>
              <w:top w:w="17" w:type="dxa"/>
              <w:left w:w="57" w:type="dxa"/>
              <w:bottom w:w="17" w:type="dxa"/>
              <w:right w:w="57" w:type="dxa"/>
            </w:tcMar>
            <w:vAlign w:val="center"/>
          </w:tcPr>
          <w:p w14:paraId="7BAD973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排水设施污染</w:t>
            </w:r>
          </w:p>
        </w:tc>
        <w:tc>
          <w:tcPr>
            <w:tcW w:w="2990" w:type="dxa"/>
            <w:tcMar>
              <w:top w:w="17" w:type="dxa"/>
              <w:left w:w="57" w:type="dxa"/>
              <w:bottom w:w="17" w:type="dxa"/>
              <w:right w:w="57" w:type="dxa"/>
            </w:tcMar>
            <w:vAlign w:val="center"/>
          </w:tcPr>
          <w:p w14:paraId="0C6E28C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1.地漏未液封，未定期清洁、消毒。</w:t>
            </w:r>
          </w:p>
          <w:p w14:paraId="4232958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2.水池排水管未处于密封状态。</w:t>
            </w:r>
          </w:p>
        </w:tc>
        <w:tc>
          <w:tcPr>
            <w:tcW w:w="3587" w:type="dxa"/>
            <w:tcMar>
              <w:top w:w="17" w:type="dxa"/>
              <w:left w:w="57" w:type="dxa"/>
              <w:bottom w:w="17" w:type="dxa"/>
              <w:right w:w="57" w:type="dxa"/>
            </w:tcMar>
            <w:vAlign w:val="center"/>
          </w:tcPr>
          <w:p w14:paraId="7AACB1C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洁净车间水池或地漏应易于清洁且带有空气阻断功能的装置以防止空气倒灌，同外部排水系统的连接方式应能够防止微生物的侵入，例如带有消毒剂的液封。</w:t>
            </w:r>
          </w:p>
        </w:tc>
        <w:tc>
          <w:tcPr>
            <w:tcW w:w="1136" w:type="dxa"/>
            <w:tcMar>
              <w:top w:w="17" w:type="dxa"/>
              <w:left w:w="57" w:type="dxa"/>
              <w:bottom w:w="17" w:type="dxa"/>
              <w:right w:w="57" w:type="dxa"/>
            </w:tcMar>
            <w:vAlign w:val="center"/>
          </w:tcPr>
          <w:p w14:paraId="6741381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每周</w:t>
            </w:r>
          </w:p>
        </w:tc>
        <w:tc>
          <w:tcPr>
            <w:tcW w:w="1674" w:type="dxa"/>
            <w:tcMar>
              <w:top w:w="17" w:type="dxa"/>
              <w:left w:w="57" w:type="dxa"/>
              <w:bottom w:w="17" w:type="dxa"/>
              <w:right w:w="57" w:type="dxa"/>
            </w:tcMar>
            <w:vAlign w:val="center"/>
          </w:tcPr>
          <w:p w14:paraId="5677BBC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14881要求</w:t>
            </w:r>
          </w:p>
        </w:tc>
        <w:tc>
          <w:tcPr>
            <w:tcW w:w="717" w:type="dxa"/>
            <w:tcMar>
              <w:top w:w="17" w:type="dxa"/>
              <w:left w:w="57" w:type="dxa"/>
              <w:bottom w:w="17" w:type="dxa"/>
              <w:right w:w="57" w:type="dxa"/>
            </w:tcMar>
            <w:vAlign w:val="center"/>
          </w:tcPr>
          <w:p w14:paraId="48BAD68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3C09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878" w:hRule="atLeast"/>
          <w:jc w:val="center"/>
        </w:trPr>
        <w:tc>
          <w:tcPr>
            <w:tcW w:w="655" w:type="dxa"/>
            <w:tcMar>
              <w:top w:w="17" w:type="dxa"/>
              <w:left w:w="57" w:type="dxa"/>
              <w:bottom w:w="17" w:type="dxa"/>
              <w:right w:w="57" w:type="dxa"/>
            </w:tcMar>
            <w:vAlign w:val="center"/>
          </w:tcPr>
          <w:p w14:paraId="2AC9C61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5652F31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33F8537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78B65F2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车间环境</w:t>
            </w:r>
          </w:p>
        </w:tc>
        <w:tc>
          <w:tcPr>
            <w:tcW w:w="960" w:type="dxa"/>
            <w:tcMar>
              <w:top w:w="17" w:type="dxa"/>
              <w:left w:w="57" w:type="dxa"/>
              <w:bottom w:w="17" w:type="dxa"/>
              <w:right w:w="57" w:type="dxa"/>
            </w:tcMar>
            <w:vAlign w:val="center"/>
          </w:tcPr>
          <w:p w14:paraId="320D9BF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粉尘污染</w:t>
            </w:r>
          </w:p>
        </w:tc>
        <w:tc>
          <w:tcPr>
            <w:tcW w:w="2990" w:type="dxa"/>
            <w:tcMar>
              <w:top w:w="17" w:type="dxa"/>
              <w:left w:w="57" w:type="dxa"/>
              <w:bottom w:w="17" w:type="dxa"/>
              <w:right w:w="57" w:type="dxa"/>
            </w:tcMar>
            <w:vAlign w:val="center"/>
          </w:tcPr>
          <w:p w14:paraId="5CBA134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1.洁净车间内产尘量大的工序，无防尘捕尘设施或防尘捕尘设施不能正常使用。</w:t>
            </w:r>
          </w:p>
          <w:p w14:paraId="1874669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2.产尘量大的功能间未保持相对负压。</w:t>
            </w:r>
          </w:p>
        </w:tc>
        <w:tc>
          <w:tcPr>
            <w:tcW w:w="3587" w:type="dxa"/>
            <w:tcMar>
              <w:top w:w="17" w:type="dxa"/>
              <w:left w:w="57" w:type="dxa"/>
              <w:bottom w:w="17" w:type="dxa"/>
              <w:right w:w="57" w:type="dxa"/>
            </w:tcMar>
            <w:vAlign w:val="center"/>
          </w:tcPr>
          <w:p w14:paraId="3F03BBB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洁净车间产尘量大的功能间应保持相对负压，防尘捕尘设施应正常使用，不得对其他功能间造成污染。</w:t>
            </w:r>
          </w:p>
        </w:tc>
        <w:tc>
          <w:tcPr>
            <w:tcW w:w="1136" w:type="dxa"/>
            <w:tcMar>
              <w:top w:w="17" w:type="dxa"/>
              <w:left w:w="57" w:type="dxa"/>
              <w:bottom w:w="17" w:type="dxa"/>
              <w:right w:w="57" w:type="dxa"/>
            </w:tcMar>
            <w:vAlign w:val="center"/>
          </w:tcPr>
          <w:p w14:paraId="0D42DB0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2次每班</w:t>
            </w:r>
          </w:p>
        </w:tc>
        <w:tc>
          <w:tcPr>
            <w:tcW w:w="1674" w:type="dxa"/>
            <w:tcMar>
              <w:top w:w="17" w:type="dxa"/>
              <w:left w:w="57" w:type="dxa"/>
              <w:bottom w:w="17" w:type="dxa"/>
              <w:right w:w="57" w:type="dxa"/>
            </w:tcMar>
            <w:vAlign w:val="center"/>
          </w:tcPr>
          <w:p w14:paraId="4F0AAA4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符合《保健食品生产许可审查细则》要求</w:t>
            </w:r>
          </w:p>
        </w:tc>
        <w:tc>
          <w:tcPr>
            <w:tcW w:w="717" w:type="dxa"/>
            <w:tcMar>
              <w:top w:w="17" w:type="dxa"/>
              <w:left w:w="57" w:type="dxa"/>
              <w:bottom w:w="17" w:type="dxa"/>
              <w:right w:w="57" w:type="dxa"/>
            </w:tcMar>
            <w:vAlign w:val="center"/>
          </w:tcPr>
          <w:p w14:paraId="36F31CE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2A6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869" w:hRule="atLeast"/>
          <w:jc w:val="center"/>
        </w:trPr>
        <w:tc>
          <w:tcPr>
            <w:tcW w:w="655" w:type="dxa"/>
            <w:tcMar>
              <w:top w:w="17" w:type="dxa"/>
              <w:left w:w="57" w:type="dxa"/>
              <w:bottom w:w="17" w:type="dxa"/>
              <w:right w:w="57" w:type="dxa"/>
            </w:tcMar>
            <w:vAlign w:val="center"/>
          </w:tcPr>
          <w:p w14:paraId="1BAFA46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25F5A7C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2AEC5AE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2AC03F1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计量设备设施</w:t>
            </w:r>
          </w:p>
        </w:tc>
        <w:tc>
          <w:tcPr>
            <w:tcW w:w="960" w:type="dxa"/>
            <w:tcMar>
              <w:top w:w="17" w:type="dxa"/>
              <w:left w:w="57" w:type="dxa"/>
              <w:bottom w:w="17" w:type="dxa"/>
              <w:right w:w="57" w:type="dxa"/>
            </w:tcMar>
            <w:vAlign w:val="center"/>
          </w:tcPr>
          <w:p w14:paraId="0BA665E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计量器具、仪器仪表</w:t>
            </w:r>
          </w:p>
        </w:tc>
        <w:tc>
          <w:tcPr>
            <w:tcW w:w="2990" w:type="dxa"/>
            <w:tcMar>
              <w:top w:w="17" w:type="dxa"/>
              <w:left w:w="57" w:type="dxa"/>
              <w:bottom w:w="17" w:type="dxa"/>
              <w:right w:w="57" w:type="dxa"/>
            </w:tcMar>
            <w:vAlign w:val="center"/>
          </w:tcPr>
          <w:p w14:paraId="625D13A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计量器具、仪器仪表未检定或校准，或检定、校准超过有效期，导致计量不正确。</w:t>
            </w:r>
          </w:p>
        </w:tc>
        <w:tc>
          <w:tcPr>
            <w:tcW w:w="3587" w:type="dxa"/>
            <w:tcMar>
              <w:top w:w="17" w:type="dxa"/>
              <w:left w:w="57" w:type="dxa"/>
              <w:bottom w:w="17" w:type="dxa"/>
              <w:right w:w="57" w:type="dxa"/>
            </w:tcMar>
            <w:vAlign w:val="center"/>
          </w:tcPr>
          <w:p w14:paraId="31C32D7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1.建立计量器具、仪器仪表检定或校准制度、清单和计划表。</w:t>
            </w:r>
          </w:p>
          <w:p w14:paraId="2FFA65B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2.车间温度计、流速计、压力计、秤、天平、计时器等计量器具、仪器仪表应定期检定或校准。</w:t>
            </w:r>
          </w:p>
        </w:tc>
        <w:tc>
          <w:tcPr>
            <w:tcW w:w="1136" w:type="dxa"/>
            <w:tcMar>
              <w:top w:w="17" w:type="dxa"/>
              <w:left w:w="57" w:type="dxa"/>
              <w:bottom w:w="17" w:type="dxa"/>
              <w:right w:w="57" w:type="dxa"/>
            </w:tcMar>
            <w:vAlign w:val="center"/>
          </w:tcPr>
          <w:p w14:paraId="7496A1D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每年外部检定和定期内部校准</w:t>
            </w:r>
          </w:p>
        </w:tc>
        <w:tc>
          <w:tcPr>
            <w:tcW w:w="1674" w:type="dxa"/>
            <w:tcMar>
              <w:top w:w="17" w:type="dxa"/>
              <w:left w:w="57" w:type="dxa"/>
              <w:bottom w:w="17" w:type="dxa"/>
              <w:right w:w="57" w:type="dxa"/>
            </w:tcMar>
            <w:vAlign w:val="center"/>
          </w:tcPr>
          <w:p w14:paraId="171AAD4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符合计量法管理要求</w:t>
            </w:r>
          </w:p>
        </w:tc>
        <w:tc>
          <w:tcPr>
            <w:tcW w:w="717" w:type="dxa"/>
            <w:tcMar>
              <w:top w:w="17" w:type="dxa"/>
              <w:left w:w="57" w:type="dxa"/>
              <w:bottom w:w="17" w:type="dxa"/>
              <w:right w:w="57" w:type="dxa"/>
            </w:tcMar>
            <w:vAlign w:val="center"/>
          </w:tcPr>
          <w:p w14:paraId="6A5173D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0F80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90" w:hRule="atLeast"/>
          <w:jc w:val="center"/>
        </w:trPr>
        <w:tc>
          <w:tcPr>
            <w:tcW w:w="655" w:type="dxa"/>
            <w:tcMar>
              <w:top w:w="17" w:type="dxa"/>
              <w:left w:w="57" w:type="dxa"/>
              <w:bottom w:w="17" w:type="dxa"/>
              <w:right w:w="57" w:type="dxa"/>
            </w:tcMar>
            <w:vAlign w:val="center"/>
          </w:tcPr>
          <w:p w14:paraId="0295848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0EA57DB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599E84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35293C4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空气净化系统</w:t>
            </w:r>
          </w:p>
        </w:tc>
        <w:tc>
          <w:tcPr>
            <w:tcW w:w="960" w:type="dxa"/>
            <w:tcMar>
              <w:top w:w="17" w:type="dxa"/>
              <w:left w:w="57" w:type="dxa"/>
              <w:bottom w:w="17" w:type="dxa"/>
              <w:right w:w="57" w:type="dxa"/>
            </w:tcMar>
            <w:vAlign w:val="center"/>
          </w:tcPr>
          <w:p w14:paraId="75B2FD9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洁净区环境控制</w:t>
            </w:r>
          </w:p>
        </w:tc>
        <w:tc>
          <w:tcPr>
            <w:tcW w:w="2990" w:type="dxa"/>
            <w:tcMar>
              <w:top w:w="17" w:type="dxa"/>
              <w:left w:w="57" w:type="dxa"/>
              <w:bottom w:w="17" w:type="dxa"/>
              <w:right w:w="57" w:type="dxa"/>
            </w:tcMar>
            <w:vAlign w:val="center"/>
          </w:tcPr>
          <w:p w14:paraId="3A72B8F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1.空气净化系统无法正常运行、运行状态缺乏有效监控。</w:t>
            </w:r>
          </w:p>
          <w:p w14:paraId="5D73FB7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2.空气净化系统过滤器未按要求进行清洗或更换，导致空气污染。</w:t>
            </w:r>
          </w:p>
          <w:p w14:paraId="1396DC7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3.车间空气洁净度超标引起污染。</w:t>
            </w:r>
          </w:p>
          <w:p w14:paraId="16AD1F8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4.车间压差不符合引起交叉污染。</w:t>
            </w:r>
          </w:p>
          <w:p w14:paraId="23FCD56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5.车间温湿度不符合要求。</w:t>
            </w:r>
          </w:p>
        </w:tc>
        <w:tc>
          <w:tcPr>
            <w:tcW w:w="3587" w:type="dxa"/>
            <w:tcMar>
              <w:top w:w="17" w:type="dxa"/>
              <w:left w:w="57" w:type="dxa"/>
              <w:bottom w:w="17" w:type="dxa"/>
              <w:right w:w="57" w:type="dxa"/>
            </w:tcMar>
            <w:vAlign w:val="center"/>
          </w:tcPr>
          <w:p w14:paraId="117665F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1.对空气净化系统运行状态进行监控并记录。</w:t>
            </w:r>
          </w:p>
          <w:p w14:paraId="2AA291B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2.空气净化系统初效、中效过滤器两侧设置压差计，对初始压差、运行压差进行记录。</w:t>
            </w:r>
          </w:p>
          <w:p w14:paraId="05B3AD9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3.初、中、高效过滤器按要求清洗或更换。</w:t>
            </w:r>
          </w:p>
          <w:p w14:paraId="589E00E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4.制定空气洁净度检测制度，配备相应环境监测仪器，定期进行洁净区环境监测。</w:t>
            </w:r>
          </w:p>
          <w:p w14:paraId="2C2C520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5.经空气净化的车间及作业区与室外、洁净级别不同的相邻洁净室之间设置压差计，对压差进行监控并记录。</w:t>
            </w:r>
          </w:p>
          <w:p w14:paraId="5144EB1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6.生产现场配备温湿度监控设施，对温湿度进行监控并记录，温湿度与生产工艺要求相适应。</w:t>
            </w:r>
          </w:p>
          <w:p w14:paraId="54AAD8B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7.定期对空气净化系统进行验证。</w:t>
            </w:r>
          </w:p>
        </w:tc>
        <w:tc>
          <w:tcPr>
            <w:tcW w:w="1136" w:type="dxa"/>
            <w:tcMar>
              <w:top w:w="17" w:type="dxa"/>
              <w:left w:w="57" w:type="dxa"/>
              <w:bottom w:w="17" w:type="dxa"/>
              <w:right w:w="57" w:type="dxa"/>
            </w:tcMar>
            <w:vAlign w:val="center"/>
          </w:tcPr>
          <w:p w14:paraId="064B320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1-2：每班</w:t>
            </w:r>
          </w:p>
          <w:p w14:paraId="355F688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3-4。定期</w:t>
            </w:r>
          </w:p>
          <w:p w14:paraId="01B1A1A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5-6：2次每班</w:t>
            </w:r>
          </w:p>
          <w:p w14:paraId="4B83811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7：定期</w:t>
            </w:r>
          </w:p>
        </w:tc>
        <w:tc>
          <w:tcPr>
            <w:tcW w:w="1674" w:type="dxa"/>
            <w:tcMar>
              <w:top w:w="17" w:type="dxa"/>
              <w:left w:w="57" w:type="dxa"/>
              <w:bottom w:w="17" w:type="dxa"/>
              <w:right w:w="57" w:type="dxa"/>
            </w:tcMar>
            <w:vAlign w:val="center"/>
          </w:tcPr>
          <w:p w14:paraId="6EDD19A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17405和内控要求</w:t>
            </w:r>
          </w:p>
        </w:tc>
        <w:tc>
          <w:tcPr>
            <w:tcW w:w="717" w:type="dxa"/>
            <w:tcMar>
              <w:top w:w="17" w:type="dxa"/>
              <w:left w:w="57" w:type="dxa"/>
              <w:bottom w:w="17" w:type="dxa"/>
              <w:right w:w="57" w:type="dxa"/>
            </w:tcMar>
            <w:vAlign w:val="center"/>
          </w:tcPr>
          <w:p w14:paraId="6F9D666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6EE9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817" w:hRule="atLeast"/>
          <w:jc w:val="center"/>
        </w:trPr>
        <w:tc>
          <w:tcPr>
            <w:tcW w:w="655" w:type="dxa"/>
            <w:tcMar>
              <w:top w:w="17" w:type="dxa"/>
              <w:left w:w="57" w:type="dxa"/>
              <w:bottom w:w="17" w:type="dxa"/>
              <w:right w:w="57" w:type="dxa"/>
            </w:tcMar>
            <w:vAlign w:val="center"/>
          </w:tcPr>
          <w:p w14:paraId="2619303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6475AFB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47F3BD2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153E5BE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水处理设备</w:t>
            </w:r>
          </w:p>
        </w:tc>
        <w:tc>
          <w:tcPr>
            <w:tcW w:w="960" w:type="dxa"/>
            <w:tcMar>
              <w:top w:w="17" w:type="dxa"/>
              <w:left w:w="57" w:type="dxa"/>
              <w:bottom w:w="17" w:type="dxa"/>
              <w:right w:w="57" w:type="dxa"/>
            </w:tcMar>
            <w:vAlign w:val="center"/>
          </w:tcPr>
          <w:p w14:paraId="7DDE996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生产用水</w:t>
            </w:r>
          </w:p>
        </w:tc>
        <w:tc>
          <w:tcPr>
            <w:tcW w:w="2990" w:type="dxa"/>
            <w:tcMar>
              <w:top w:w="17" w:type="dxa"/>
              <w:left w:w="57" w:type="dxa"/>
              <w:bottom w:w="17" w:type="dxa"/>
              <w:right w:w="57" w:type="dxa"/>
            </w:tcMar>
            <w:vAlign w:val="center"/>
          </w:tcPr>
          <w:p w14:paraId="5E928B6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1.水处理设备无法正常运行、运行状态缺乏有效监控。</w:t>
            </w:r>
          </w:p>
          <w:p w14:paraId="482CD90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2.未对纯化水制备系统进行定期清洗、灭菌，导致微生物的滋生和污染。</w:t>
            </w:r>
          </w:p>
          <w:p w14:paraId="70BDE75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3.未对保健食品生产用水进行定期检测或检测项目不完整，无生产用水检验报告。</w:t>
            </w:r>
          </w:p>
          <w:p w14:paraId="5B93D98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4.生活饮用水不符合GB 5749《生活饮用水卫生标准》要求，纯化水不符合《中华人民共和国药典》要求。</w:t>
            </w:r>
          </w:p>
          <w:p w14:paraId="46B8F64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5.涉水产品未取得合法资质。</w:t>
            </w:r>
          </w:p>
        </w:tc>
        <w:tc>
          <w:tcPr>
            <w:tcW w:w="3587" w:type="dxa"/>
            <w:tcMar>
              <w:top w:w="17" w:type="dxa"/>
              <w:left w:w="57" w:type="dxa"/>
              <w:bottom w:w="17" w:type="dxa"/>
              <w:right w:w="57" w:type="dxa"/>
            </w:tcMar>
            <w:vAlign w:val="center"/>
          </w:tcPr>
          <w:p w14:paraId="58E263AC">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1对水处理设备运行状态进行监控并记录。</w:t>
            </w:r>
          </w:p>
          <w:p w14:paraId="30151A2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2.水处理设备定期维护，多介质过滤器、活性炭过滤器、保安过滤器、超滤系统定期清洗，储罐和管道定期清洗、灭菌并记录。</w:t>
            </w:r>
          </w:p>
          <w:p w14:paraId="33E72CE7">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3.定期进行纯化水水质pH值、电导率等项目的检测。</w:t>
            </w:r>
          </w:p>
          <w:p w14:paraId="2A017326">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4.每年进行生产用水的全项检验，对不能检验的项目，可以委托具有合法资质的检验机构进行检验，生活饮用水应符合GB 5749《生活饮用水卫生标准》要求，纯化水应符合《中华人民共和国药典》要求。</w:t>
            </w:r>
          </w:p>
          <w:p w14:paraId="129214F9">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5.定期对水处理系统进行验证。</w:t>
            </w:r>
          </w:p>
          <w:p w14:paraId="2DC9399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6.制水设备、储水设备、过滤装置、再生盐、阻垢剂等的资质符合要求（如涉水产品卫生批件等）。</w:t>
            </w:r>
          </w:p>
        </w:tc>
        <w:tc>
          <w:tcPr>
            <w:tcW w:w="1136" w:type="dxa"/>
            <w:tcMar>
              <w:top w:w="17" w:type="dxa"/>
              <w:left w:w="57" w:type="dxa"/>
              <w:bottom w:w="17" w:type="dxa"/>
              <w:right w:w="57" w:type="dxa"/>
            </w:tcMar>
            <w:vAlign w:val="center"/>
          </w:tcPr>
          <w:p w14:paraId="3CF04D4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1：每日</w:t>
            </w:r>
          </w:p>
          <w:p w14:paraId="615D4F7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2-3：定期</w:t>
            </w:r>
          </w:p>
          <w:p w14:paraId="7C71C10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4：每年</w:t>
            </w:r>
          </w:p>
          <w:p w14:paraId="4D75173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5-6：定期</w:t>
            </w:r>
          </w:p>
        </w:tc>
        <w:tc>
          <w:tcPr>
            <w:tcW w:w="1674" w:type="dxa"/>
            <w:tcMar>
              <w:top w:w="17" w:type="dxa"/>
              <w:left w:w="57" w:type="dxa"/>
              <w:bottom w:w="17" w:type="dxa"/>
              <w:right w:w="57" w:type="dxa"/>
            </w:tcMar>
            <w:vAlign w:val="center"/>
          </w:tcPr>
          <w:p w14:paraId="6066F74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14881和内控要求</w:t>
            </w:r>
          </w:p>
        </w:tc>
        <w:tc>
          <w:tcPr>
            <w:tcW w:w="717" w:type="dxa"/>
            <w:tcMar>
              <w:top w:w="17" w:type="dxa"/>
              <w:left w:w="57" w:type="dxa"/>
              <w:bottom w:w="17" w:type="dxa"/>
              <w:right w:w="57" w:type="dxa"/>
            </w:tcMar>
            <w:vAlign w:val="center"/>
          </w:tcPr>
          <w:p w14:paraId="52A5894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0609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21" w:hRule="atLeast"/>
          <w:jc w:val="center"/>
        </w:trPr>
        <w:tc>
          <w:tcPr>
            <w:tcW w:w="655" w:type="dxa"/>
            <w:tcMar>
              <w:top w:w="17" w:type="dxa"/>
              <w:left w:w="57" w:type="dxa"/>
              <w:bottom w:w="17" w:type="dxa"/>
              <w:right w:w="57" w:type="dxa"/>
            </w:tcMar>
            <w:vAlign w:val="center"/>
          </w:tcPr>
          <w:p w14:paraId="2D3F400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60E1BF0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D64077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7532FA6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干燥用空气、压缩空气设备设施</w:t>
            </w:r>
          </w:p>
        </w:tc>
        <w:tc>
          <w:tcPr>
            <w:tcW w:w="960" w:type="dxa"/>
            <w:tcMar>
              <w:top w:w="17" w:type="dxa"/>
              <w:left w:w="57" w:type="dxa"/>
              <w:bottom w:w="17" w:type="dxa"/>
              <w:right w:w="57" w:type="dxa"/>
            </w:tcMar>
            <w:vAlign w:val="center"/>
          </w:tcPr>
          <w:p w14:paraId="172A3B7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干燥用空气、压缩空气污染</w:t>
            </w:r>
          </w:p>
        </w:tc>
        <w:tc>
          <w:tcPr>
            <w:tcW w:w="2990" w:type="dxa"/>
            <w:tcMar>
              <w:top w:w="17" w:type="dxa"/>
              <w:left w:w="57" w:type="dxa"/>
              <w:bottom w:w="17" w:type="dxa"/>
              <w:right w:w="57" w:type="dxa"/>
            </w:tcMar>
            <w:vAlign w:val="center"/>
          </w:tcPr>
          <w:p w14:paraId="28F01D0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1.直接接触保健食品的干燥用空气、压缩空气等未经净化处理，导致车间环境污染。</w:t>
            </w:r>
          </w:p>
          <w:p w14:paraId="4D8B416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2.净化用滤罐未定期清洗或更换。</w:t>
            </w:r>
          </w:p>
        </w:tc>
        <w:tc>
          <w:tcPr>
            <w:tcW w:w="3587" w:type="dxa"/>
            <w:tcMar>
              <w:top w:w="17" w:type="dxa"/>
              <w:left w:w="57" w:type="dxa"/>
              <w:bottom w:w="17" w:type="dxa"/>
              <w:right w:w="57" w:type="dxa"/>
            </w:tcMar>
            <w:vAlign w:val="center"/>
          </w:tcPr>
          <w:p w14:paraId="6E99793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1.直接接触保健食品的干燥用空气、压缩空气应经过净化处理。</w:t>
            </w:r>
          </w:p>
          <w:p w14:paraId="410B6DA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2.定期对压缩空气水分、油分及微生物进行检测。</w:t>
            </w:r>
          </w:p>
          <w:p w14:paraId="3F164B6E">
            <w:pPr>
              <w:pStyle w:val="7"/>
              <w:keepNext w:val="0"/>
              <w:keepLines w:val="0"/>
              <w:pageBreakBefore w:val="0"/>
              <w:widowControl w:val="0"/>
              <w:kinsoku/>
              <w:wordWrap/>
              <w:overflowPunct w:val="0"/>
              <w:topLinePunct w:val="0"/>
              <w:autoSpaceDE/>
              <w:autoSpaceDN/>
              <w:bidi w:val="0"/>
              <w:adjustRightInd w:val="0"/>
              <w:snapToGrid w:val="0"/>
              <w:spacing w:after="0"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3.净化用滤罐定期清洗或更换并记录。</w:t>
            </w:r>
          </w:p>
        </w:tc>
        <w:tc>
          <w:tcPr>
            <w:tcW w:w="1136" w:type="dxa"/>
            <w:tcMar>
              <w:top w:w="17" w:type="dxa"/>
              <w:left w:w="57" w:type="dxa"/>
              <w:bottom w:w="17" w:type="dxa"/>
              <w:right w:w="57" w:type="dxa"/>
            </w:tcMar>
            <w:vAlign w:val="center"/>
          </w:tcPr>
          <w:p w14:paraId="4D86579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每月/定期</w:t>
            </w:r>
          </w:p>
        </w:tc>
        <w:tc>
          <w:tcPr>
            <w:tcW w:w="1674" w:type="dxa"/>
            <w:tcMar>
              <w:top w:w="17" w:type="dxa"/>
              <w:left w:w="57" w:type="dxa"/>
              <w:bottom w:w="17" w:type="dxa"/>
              <w:right w:w="57" w:type="dxa"/>
            </w:tcMar>
            <w:vAlign w:val="center"/>
          </w:tcPr>
          <w:p w14:paraId="75EA90D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符合《保健食品生产许可审查细则》和内控要求</w:t>
            </w:r>
          </w:p>
        </w:tc>
        <w:tc>
          <w:tcPr>
            <w:tcW w:w="717" w:type="dxa"/>
            <w:tcMar>
              <w:top w:w="17" w:type="dxa"/>
              <w:left w:w="57" w:type="dxa"/>
              <w:bottom w:w="17" w:type="dxa"/>
              <w:right w:w="57" w:type="dxa"/>
            </w:tcMar>
            <w:vAlign w:val="center"/>
          </w:tcPr>
          <w:p w14:paraId="141F190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0167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30" w:hRule="atLeast"/>
          <w:jc w:val="center"/>
        </w:trPr>
        <w:tc>
          <w:tcPr>
            <w:tcW w:w="655" w:type="dxa"/>
            <w:tcMar>
              <w:top w:w="17" w:type="dxa"/>
              <w:left w:w="57" w:type="dxa"/>
              <w:bottom w:w="17" w:type="dxa"/>
              <w:right w:w="57" w:type="dxa"/>
            </w:tcMar>
            <w:vAlign w:val="center"/>
          </w:tcPr>
          <w:p w14:paraId="181D326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6A4B6FA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3C6B880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20A9117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进货查验</w:t>
            </w:r>
          </w:p>
        </w:tc>
        <w:tc>
          <w:tcPr>
            <w:tcW w:w="960" w:type="dxa"/>
            <w:tcMar>
              <w:top w:w="17" w:type="dxa"/>
              <w:left w:w="57" w:type="dxa"/>
              <w:bottom w:w="17" w:type="dxa"/>
              <w:right w:w="57" w:type="dxa"/>
            </w:tcMar>
            <w:vAlign w:val="center"/>
          </w:tcPr>
          <w:p w14:paraId="6709A9F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供应商资质合规风险</w:t>
            </w:r>
          </w:p>
        </w:tc>
        <w:tc>
          <w:tcPr>
            <w:tcW w:w="2990" w:type="dxa"/>
            <w:tcMar>
              <w:top w:w="17" w:type="dxa"/>
              <w:left w:w="57" w:type="dxa"/>
              <w:bottom w:w="17" w:type="dxa"/>
              <w:right w:w="57" w:type="dxa"/>
            </w:tcMar>
            <w:vAlign w:val="center"/>
          </w:tcPr>
          <w:p w14:paraId="0FDA6BE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1.采购非合格供应商的原料用于生产。</w:t>
            </w:r>
          </w:p>
          <w:p w14:paraId="1308B4B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2.未进行供应商审核。</w:t>
            </w:r>
          </w:p>
          <w:p w14:paraId="13ACF4E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3.未索取供货者的许可资质证明。</w:t>
            </w:r>
          </w:p>
          <w:p w14:paraId="2D14182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4.供应商许可资质证明变更或过期，未及时更新。</w:t>
            </w:r>
          </w:p>
          <w:p w14:paraId="6159C0B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5.未按照法律法规和相关文件等要求购进使用动植物原料。</w:t>
            </w:r>
          </w:p>
        </w:tc>
        <w:tc>
          <w:tcPr>
            <w:tcW w:w="3587" w:type="dxa"/>
            <w:tcMar>
              <w:top w:w="17" w:type="dxa"/>
              <w:left w:w="57" w:type="dxa"/>
              <w:bottom w:w="17" w:type="dxa"/>
              <w:right w:w="57" w:type="dxa"/>
            </w:tcMar>
            <w:vAlign w:val="center"/>
          </w:tcPr>
          <w:p w14:paraId="3CDCC9B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1.建立合格供应商名录，生产用物料采购下订单时必须从合格供应商名录中选取供应商。</w:t>
            </w:r>
          </w:p>
          <w:p w14:paraId="3966FE6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2.明确物料供应商的遴选、退出标准以及审核、评价程序，根据供应商的审核/评估计划，对供应商进行审核/评估。</w:t>
            </w:r>
          </w:p>
          <w:p w14:paraId="6030598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3.供应商的许可资质应齐全，过期的应重新获取。</w:t>
            </w:r>
          </w:p>
          <w:p w14:paraId="3B67441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4.采购合同约定，供应商如有资质、生产工艺、原料变更时，及时通知。</w:t>
            </w:r>
          </w:p>
          <w:p w14:paraId="3EDDAB9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5.药用空心胶囊应从符合药典规定的具有药品关联评审登记号的供应商采购。</w:t>
            </w:r>
          </w:p>
          <w:p w14:paraId="3E23FD0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6.采购原料提取物的，查验原料提取物供货商《食品生产许可证》及相关信息，生产商《食品生产许可证》许可品种明细项目应载明保健食品原料提取物名称、对应的保健食品名称、注册号或备案号等信息。</w:t>
            </w:r>
          </w:p>
          <w:p w14:paraId="4168742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7.购进使用的动植物原料应符合法律法规和相关文件等要求。</w:t>
            </w:r>
          </w:p>
        </w:tc>
        <w:tc>
          <w:tcPr>
            <w:tcW w:w="1136" w:type="dxa"/>
            <w:tcMar>
              <w:top w:w="17" w:type="dxa"/>
              <w:left w:w="57" w:type="dxa"/>
              <w:bottom w:w="17" w:type="dxa"/>
              <w:right w:w="57" w:type="dxa"/>
            </w:tcMar>
            <w:vAlign w:val="center"/>
          </w:tcPr>
          <w:p w14:paraId="5C659E1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1：每批</w:t>
            </w:r>
          </w:p>
          <w:p w14:paraId="74676F4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2：定期</w:t>
            </w:r>
          </w:p>
          <w:p w14:paraId="3208C3F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3：每批</w:t>
            </w:r>
          </w:p>
          <w:p w14:paraId="1CCFAE5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4：按需5-7：每批</w:t>
            </w:r>
          </w:p>
        </w:tc>
        <w:tc>
          <w:tcPr>
            <w:tcW w:w="1674" w:type="dxa"/>
            <w:tcMar>
              <w:top w:w="17" w:type="dxa"/>
              <w:left w:w="57" w:type="dxa"/>
              <w:bottom w:w="17" w:type="dxa"/>
              <w:right w:w="57" w:type="dxa"/>
            </w:tcMar>
            <w:vAlign w:val="center"/>
          </w:tcPr>
          <w:p w14:paraId="5105BE9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1994C7E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086D9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31CD292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56F069B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4FBE391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4C37562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进货查验</w:t>
            </w:r>
          </w:p>
        </w:tc>
        <w:tc>
          <w:tcPr>
            <w:tcW w:w="960" w:type="dxa"/>
            <w:tcMar>
              <w:top w:w="17" w:type="dxa"/>
              <w:left w:w="57" w:type="dxa"/>
              <w:bottom w:w="17" w:type="dxa"/>
              <w:right w:w="57" w:type="dxa"/>
            </w:tcMar>
            <w:vAlign w:val="center"/>
          </w:tcPr>
          <w:p w14:paraId="5924621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原辅料、内包材质量控制</w:t>
            </w:r>
          </w:p>
        </w:tc>
        <w:tc>
          <w:tcPr>
            <w:tcW w:w="2990" w:type="dxa"/>
            <w:tcMar>
              <w:top w:w="17" w:type="dxa"/>
              <w:left w:w="57" w:type="dxa"/>
              <w:bottom w:w="17" w:type="dxa"/>
              <w:right w:w="57" w:type="dxa"/>
            </w:tcMar>
            <w:vAlign w:val="center"/>
          </w:tcPr>
          <w:p w14:paraId="606E94F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1.原辅料、包装材料无检验合格报告、检验报告项目不全、不符合质量标准要求、检验标准已废止，例如：中药材农兽药残留、硫酸软骨素等原料不符合质量标准要求。</w:t>
            </w:r>
          </w:p>
          <w:p w14:paraId="125EAA3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2.采购菌丝体原料、益生菌类原料和藻类原料，未索取菌株或品种鉴定报告、稳定性报告。</w:t>
            </w:r>
          </w:p>
          <w:p w14:paraId="622F52E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3.依法需要实施检疫的动物原料缺少检疫证明。</w:t>
            </w:r>
          </w:p>
          <w:p w14:paraId="350AD04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4.含有兴奋剂或激素的原辅料无含量报告。</w:t>
            </w:r>
          </w:p>
          <w:p w14:paraId="72CE450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5.经辐照的原辅料无辐照剂量资料。</w:t>
            </w:r>
          </w:p>
          <w:p w14:paraId="40D4E5D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6.原料存在非法添加风险。</w:t>
            </w:r>
          </w:p>
        </w:tc>
        <w:tc>
          <w:tcPr>
            <w:tcW w:w="3587" w:type="dxa"/>
            <w:tcMar>
              <w:top w:w="17" w:type="dxa"/>
              <w:left w:w="57" w:type="dxa"/>
              <w:bottom w:w="17" w:type="dxa"/>
              <w:right w:w="57" w:type="dxa"/>
            </w:tcMar>
            <w:vAlign w:val="center"/>
          </w:tcPr>
          <w:p w14:paraId="5658EBF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1.采购的原辅料和包装材料逐批查验产品合格证明，对无法提供合格证明的原料，按质量标准检验合格。根据原料验收标准，逐条项目确认检测结果与验收标准是否一致。</w:t>
            </w:r>
          </w:p>
          <w:p w14:paraId="053C2AC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2.采购的菌丝体原料、益生菌类原料和藻类原料等供应商审核评估时应当索取菌株或品种鉴定证明材料，菌丝体原料、益生菌类原料在供应商审核评估时还应索取遗传稳定性、安全性等证明材料。</w:t>
            </w:r>
          </w:p>
          <w:p w14:paraId="0595142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3.采购的依法需要实施检疫的动物或动物组织器官原料，应当索取检疫证明。</w:t>
            </w:r>
          </w:p>
          <w:p w14:paraId="0AAA2CE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4.采购原辅料有兴奋剂或激素含量要求的，应索取其含量检测报告。</w:t>
            </w:r>
          </w:p>
          <w:p w14:paraId="65B1800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5.采购的使用经辐照的原辅料，应当有辐照剂量资料。</w:t>
            </w:r>
          </w:p>
          <w:p w14:paraId="0D303E67">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6.生产有助于控制体内脂肪、有助于维持血糖健康水平、有助于维持血压健康水平、有助于维持血脂（胆固醇/甘油三酯）健康水平、缓解体力疲劳等易非法添加的保健食品的，加强原料管控：</w:t>
            </w:r>
          </w:p>
          <w:p w14:paraId="327D07C8">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（1）采购前与供应商确认原料的采购标准，并签订采购合同及质量保证协议。</w:t>
            </w:r>
          </w:p>
          <w:p w14:paraId="7C2379C8">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（2）对重点原料供应商定期现场审核，保证从正规供应商购买合格原料。</w:t>
            </w:r>
          </w:p>
          <w:p w14:paraId="7D7D88BC">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（3）有条件的对重点原料开展易非法添加成分监测。</w:t>
            </w:r>
          </w:p>
        </w:tc>
        <w:tc>
          <w:tcPr>
            <w:tcW w:w="1136" w:type="dxa"/>
            <w:tcMar>
              <w:top w:w="17" w:type="dxa"/>
              <w:left w:w="57" w:type="dxa"/>
              <w:bottom w:w="17" w:type="dxa"/>
              <w:right w:w="57" w:type="dxa"/>
            </w:tcMar>
            <w:vAlign w:val="center"/>
          </w:tcPr>
          <w:p w14:paraId="01935DE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167B2EB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76F4C62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601A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77509F1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4D757D3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EEDF04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472C73D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生产过程</w:t>
            </w:r>
          </w:p>
        </w:tc>
        <w:tc>
          <w:tcPr>
            <w:tcW w:w="960" w:type="dxa"/>
            <w:tcMar>
              <w:top w:w="17" w:type="dxa"/>
              <w:left w:w="57" w:type="dxa"/>
              <w:bottom w:w="17" w:type="dxa"/>
              <w:right w:w="57" w:type="dxa"/>
            </w:tcMar>
            <w:vAlign w:val="center"/>
          </w:tcPr>
          <w:p w14:paraId="73EDD3F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共线生产</w:t>
            </w:r>
          </w:p>
        </w:tc>
        <w:tc>
          <w:tcPr>
            <w:tcW w:w="2990" w:type="dxa"/>
            <w:tcMar>
              <w:top w:w="17" w:type="dxa"/>
              <w:left w:w="57" w:type="dxa"/>
              <w:bottom w:w="17" w:type="dxa"/>
              <w:right w:w="57" w:type="dxa"/>
            </w:tcMar>
            <w:vAlign w:val="center"/>
          </w:tcPr>
          <w:p w14:paraId="1CBF886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可能导致污染或交叉污染的共线生产行为。</w:t>
            </w:r>
          </w:p>
        </w:tc>
        <w:tc>
          <w:tcPr>
            <w:tcW w:w="3587" w:type="dxa"/>
            <w:tcMar>
              <w:top w:w="17" w:type="dxa"/>
              <w:left w:w="57" w:type="dxa"/>
              <w:bottom w:w="17" w:type="dxa"/>
              <w:right w:w="57" w:type="dxa"/>
            </w:tcMar>
            <w:vAlign w:val="center"/>
          </w:tcPr>
          <w:p w14:paraId="1A289BF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1.明确共线生产管理要求、清场要求。</w:t>
            </w:r>
          </w:p>
          <w:p w14:paraId="400AA36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2.保健食品不得与药品共线生产，不得生产对保健食品质量安全产生影响的其他产品。</w:t>
            </w:r>
          </w:p>
          <w:p w14:paraId="4702330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3.共线生产后进行有效清洁。</w:t>
            </w:r>
          </w:p>
          <w:p w14:paraId="7F727F2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4.清洁效果应进行验证。</w:t>
            </w:r>
          </w:p>
        </w:tc>
        <w:tc>
          <w:tcPr>
            <w:tcW w:w="1136" w:type="dxa"/>
            <w:tcMar>
              <w:top w:w="17" w:type="dxa"/>
              <w:left w:w="57" w:type="dxa"/>
              <w:bottom w:w="17" w:type="dxa"/>
              <w:right w:w="57" w:type="dxa"/>
            </w:tcMar>
            <w:vAlign w:val="center"/>
          </w:tcPr>
          <w:p w14:paraId="7B596BF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1-3：每批</w:t>
            </w:r>
          </w:p>
          <w:p w14:paraId="4EA8816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4：定期</w:t>
            </w:r>
          </w:p>
        </w:tc>
        <w:tc>
          <w:tcPr>
            <w:tcW w:w="1674" w:type="dxa"/>
            <w:tcMar>
              <w:top w:w="17" w:type="dxa"/>
              <w:left w:w="57" w:type="dxa"/>
              <w:bottom w:w="17" w:type="dxa"/>
              <w:right w:w="57" w:type="dxa"/>
            </w:tcMar>
            <w:vAlign w:val="center"/>
          </w:tcPr>
          <w:p w14:paraId="5F4196F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符合《保健食品生产许可审查细则》和内控要求</w:t>
            </w:r>
          </w:p>
        </w:tc>
        <w:tc>
          <w:tcPr>
            <w:tcW w:w="717" w:type="dxa"/>
            <w:tcMar>
              <w:top w:w="17" w:type="dxa"/>
              <w:left w:w="57" w:type="dxa"/>
              <w:bottom w:w="17" w:type="dxa"/>
              <w:right w:w="57" w:type="dxa"/>
            </w:tcMar>
            <w:vAlign w:val="center"/>
          </w:tcPr>
          <w:p w14:paraId="1B4064A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5031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305CDCF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0F9B388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10DB388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0DC0A20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清洁消毒</w:t>
            </w:r>
          </w:p>
        </w:tc>
        <w:tc>
          <w:tcPr>
            <w:tcW w:w="960" w:type="dxa"/>
            <w:tcMar>
              <w:top w:w="17" w:type="dxa"/>
              <w:left w:w="57" w:type="dxa"/>
              <w:bottom w:w="17" w:type="dxa"/>
              <w:right w:w="57" w:type="dxa"/>
            </w:tcMar>
            <w:vAlign w:val="center"/>
          </w:tcPr>
          <w:p w14:paraId="71D302F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清洁剂、消毒剂污染</w:t>
            </w:r>
          </w:p>
        </w:tc>
        <w:tc>
          <w:tcPr>
            <w:tcW w:w="2990" w:type="dxa"/>
            <w:tcMar>
              <w:top w:w="17" w:type="dxa"/>
              <w:left w:w="57" w:type="dxa"/>
              <w:bottom w:w="17" w:type="dxa"/>
              <w:right w:w="57" w:type="dxa"/>
            </w:tcMar>
            <w:vAlign w:val="center"/>
          </w:tcPr>
          <w:p w14:paraId="531E1BD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1.清洁剂、消毒剂与食品原料、半成品、产品、包装材料等混放或标识不清，造成污染风险。</w:t>
            </w:r>
          </w:p>
          <w:p w14:paraId="5CEAD3A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2.清洁剂、消毒剂无使用记录，需要配制的消毒剂无配制记录。</w:t>
            </w:r>
          </w:p>
          <w:p w14:paraId="5DC9882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3.洗涤剂、消毒剂不符合GB 14930标准要求。</w:t>
            </w:r>
          </w:p>
        </w:tc>
        <w:tc>
          <w:tcPr>
            <w:tcW w:w="3587" w:type="dxa"/>
            <w:tcMar>
              <w:top w:w="17" w:type="dxa"/>
              <w:left w:w="57" w:type="dxa"/>
              <w:bottom w:w="17" w:type="dxa"/>
              <w:right w:w="57" w:type="dxa"/>
            </w:tcMar>
            <w:vAlign w:val="center"/>
          </w:tcPr>
          <w:p w14:paraId="72A07D6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1.清洁剂、消毒剂应分别安全包装，明确标识，并与食品原料、半成品、产品、包装材料等分隔放置。</w:t>
            </w:r>
          </w:p>
          <w:p w14:paraId="0288407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2.建立清洁剂、消毒剂采购、配制使用记录，消毒液在有效期内使用。</w:t>
            </w:r>
          </w:p>
          <w:p w14:paraId="66F31B2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3.检查核对洗涤剂、消毒剂标识的产品标准。</w:t>
            </w:r>
          </w:p>
        </w:tc>
        <w:tc>
          <w:tcPr>
            <w:tcW w:w="1136" w:type="dxa"/>
            <w:tcMar>
              <w:top w:w="17" w:type="dxa"/>
              <w:left w:w="57" w:type="dxa"/>
              <w:bottom w:w="17" w:type="dxa"/>
              <w:right w:w="57" w:type="dxa"/>
            </w:tcMar>
            <w:vAlign w:val="center"/>
          </w:tcPr>
          <w:p w14:paraId="0FF1BAF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定期/不定期</w:t>
            </w:r>
          </w:p>
        </w:tc>
        <w:tc>
          <w:tcPr>
            <w:tcW w:w="1674" w:type="dxa"/>
            <w:tcMar>
              <w:top w:w="17" w:type="dxa"/>
              <w:left w:w="57" w:type="dxa"/>
              <w:bottom w:w="17" w:type="dxa"/>
              <w:right w:w="57" w:type="dxa"/>
            </w:tcMar>
            <w:vAlign w:val="center"/>
          </w:tcPr>
          <w:p w14:paraId="3A5F4D6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14881和内控要求</w:t>
            </w:r>
          </w:p>
        </w:tc>
        <w:tc>
          <w:tcPr>
            <w:tcW w:w="717" w:type="dxa"/>
            <w:tcMar>
              <w:top w:w="17" w:type="dxa"/>
              <w:left w:w="57" w:type="dxa"/>
              <w:bottom w:w="17" w:type="dxa"/>
              <w:right w:w="57" w:type="dxa"/>
            </w:tcMar>
            <w:vAlign w:val="center"/>
          </w:tcPr>
          <w:p w14:paraId="3A30174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2A7D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374" w:hRule="atLeast"/>
          <w:jc w:val="center"/>
        </w:trPr>
        <w:tc>
          <w:tcPr>
            <w:tcW w:w="655" w:type="dxa"/>
            <w:tcMar>
              <w:top w:w="17" w:type="dxa"/>
              <w:left w:w="57" w:type="dxa"/>
              <w:bottom w:w="17" w:type="dxa"/>
              <w:right w:w="57" w:type="dxa"/>
            </w:tcMar>
            <w:vAlign w:val="center"/>
          </w:tcPr>
          <w:p w14:paraId="56208BB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0956AA5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3C54199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0432445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委托生产</w:t>
            </w:r>
          </w:p>
        </w:tc>
        <w:tc>
          <w:tcPr>
            <w:tcW w:w="960" w:type="dxa"/>
            <w:tcMar>
              <w:top w:w="17" w:type="dxa"/>
              <w:left w:w="57" w:type="dxa"/>
              <w:bottom w:w="17" w:type="dxa"/>
              <w:right w:w="57" w:type="dxa"/>
            </w:tcMar>
            <w:vAlign w:val="center"/>
          </w:tcPr>
          <w:p w14:paraId="6FFE3D3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委托双方证照及质量责任</w:t>
            </w:r>
          </w:p>
        </w:tc>
        <w:tc>
          <w:tcPr>
            <w:tcW w:w="2990" w:type="dxa"/>
            <w:tcMar>
              <w:top w:w="17" w:type="dxa"/>
              <w:left w:w="57" w:type="dxa"/>
              <w:bottom w:w="17" w:type="dxa"/>
              <w:right w:w="57" w:type="dxa"/>
            </w:tcMar>
            <w:vAlign w:val="center"/>
          </w:tcPr>
          <w:p w14:paraId="7D4E207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1.受委托生产的保健食品不符合法律、法规以及食品安全标准等规定。</w:t>
            </w:r>
          </w:p>
          <w:p w14:paraId="707C48D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2.受委托生产的保健食品所用原辅料不符合注册或备案要求。</w:t>
            </w:r>
          </w:p>
          <w:p w14:paraId="6073C70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3.受托方生产许可范围不含委托加工产品类别，生产许可证不在有效期内。</w:t>
            </w:r>
          </w:p>
          <w:p w14:paraId="1C0579C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4.保健食品委托方不是产品注册证书、注册转备案凭证所有人。</w:t>
            </w:r>
          </w:p>
          <w:p w14:paraId="6D4E77E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5.保健食品注册批件发生变更的，委托方未履行批件变更手续。</w:t>
            </w:r>
          </w:p>
          <w:p w14:paraId="09DF703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6.保健食品注册证书过期继续生产。</w:t>
            </w:r>
          </w:p>
          <w:p w14:paraId="20036CA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7.受托方不具备全流程生产能力或未全过程生产。</w:t>
            </w:r>
          </w:p>
        </w:tc>
        <w:tc>
          <w:tcPr>
            <w:tcW w:w="3587" w:type="dxa"/>
            <w:tcMar>
              <w:top w:w="17" w:type="dxa"/>
              <w:left w:w="57" w:type="dxa"/>
              <w:bottom w:w="17" w:type="dxa"/>
              <w:right w:w="57" w:type="dxa"/>
            </w:tcMar>
            <w:vAlign w:val="center"/>
          </w:tcPr>
          <w:p w14:paraId="6BE957D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1.委托加工产品应符合法律、法规、食品安全标准、注册或备案要求以及合同约定要求。</w:t>
            </w:r>
          </w:p>
          <w:p w14:paraId="2E846EC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2.委托产品在受托方《食品生产许可证》许可范围内，《食品生产许可证》在有效期内。</w:t>
            </w:r>
          </w:p>
          <w:p w14:paraId="628D7BC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3.委托方应是保健食品注册证书或注册转备案凭证持有人，检查产品注册证书或备案凭证是否有效。</w:t>
            </w:r>
          </w:p>
          <w:p w14:paraId="50BE715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4.保健食品注册批件发生变更的，委托方履行批件变更手续。</w:t>
            </w:r>
          </w:p>
          <w:p w14:paraId="2D56203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5.受托方保持委托生产品种的全过程生产能力，完成委托品种的全过程生产。</w:t>
            </w:r>
          </w:p>
        </w:tc>
        <w:tc>
          <w:tcPr>
            <w:tcW w:w="1136" w:type="dxa"/>
            <w:tcMar>
              <w:top w:w="17" w:type="dxa"/>
              <w:left w:w="57" w:type="dxa"/>
              <w:bottom w:w="17" w:type="dxa"/>
              <w:right w:w="57" w:type="dxa"/>
            </w:tcMar>
            <w:vAlign w:val="center"/>
          </w:tcPr>
          <w:p w14:paraId="55C6114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合同周期</w:t>
            </w:r>
          </w:p>
        </w:tc>
        <w:tc>
          <w:tcPr>
            <w:tcW w:w="1674" w:type="dxa"/>
            <w:tcMar>
              <w:top w:w="17" w:type="dxa"/>
              <w:left w:w="57" w:type="dxa"/>
              <w:bottom w:w="17" w:type="dxa"/>
              <w:right w:w="57" w:type="dxa"/>
            </w:tcMar>
            <w:vAlign w:val="center"/>
          </w:tcPr>
          <w:p w14:paraId="2D2B04A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符合法律、法规、食品安全标准、注册或备案的技术要求、《保健食品生产许可审查细则》要求</w:t>
            </w:r>
          </w:p>
        </w:tc>
        <w:tc>
          <w:tcPr>
            <w:tcW w:w="717" w:type="dxa"/>
            <w:tcMar>
              <w:top w:w="17" w:type="dxa"/>
              <w:left w:w="57" w:type="dxa"/>
              <w:bottom w:w="17" w:type="dxa"/>
              <w:right w:w="57" w:type="dxa"/>
            </w:tcMar>
            <w:vAlign w:val="center"/>
          </w:tcPr>
          <w:p w14:paraId="7E73B1D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7B4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407" w:hRule="atLeast"/>
          <w:jc w:val="center"/>
        </w:trPr>
        <w:tc>
          <w:tcPr>
            <w:tcW w:w="655" w:type="dxa"/>
            <w:tcMar>
              <w:top w:w="17" w:type="dxa"/>
              <w:left w:w="57" w:type="dxa"/>
              <w:bottom w:w="17" w:type="dxa"/>
              <w:right w:w="57" w:type="dxa"/>
            </w:tcMar>
            <w:vAlign w:val="center"/>
          </w:tcPr>
          <w:p w14:paraId="3FD9D98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377DE50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35C52D0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1AC6B46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委托生产</w:t>
            </w:r>
          </w:p>
        </w:tc>
        <w:tc>
          <w:tcPr>
            <w:tcW w:w="960" w:type="dxa"/>
            <w:tcMar>
              <w:top w:w="17" w:type="dxa"/>
              <w:left w:w="57" w:type="dxa"/>
              <w:bottom w:w="17" w:type="dxa"/>
              <w:right w:w="57" w:type="dxa"/>
            </w:tcMar>
            <w:vAlign w:val="center"/>
          </w:tcPr>
          <w:p w14:paraId="697BB40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委托生产合同</w:t>
            </w:r>
          </w:p>
        </w:tc>
        <w:tc>
          <w:tcPr>
            <w:tcW w:w="2990" w:type="dxa"/>
            <w:tcMar>
              <w:top w:w="17" w:type="dxa"/>
              <w:left w:w="57" w:type="dxa"/>
              <w:bottom w:w="17" w:type="dxa"/>
              <w:right w:w="57" w:type="dxa"/>
            </w:tcMar>
            <w:vAlign w:val="center"/>
          </w:tcPr>
          <w:p w14:paraId="0397422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1.未签订委托生产合同，委托生产合同超出有效期。</w:t>
            </w:r>
          </w:p>
          <w:p w14:paraId="389C545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2.委托生产合同对品种、委托期限等内容未作约定或约定不清。</w:t>
            </w:r>
          </w:p>
          <w:p w14:paraId="04AAE99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3.委托生产合同未明确委托双方产品质量责任。</w:t>
            </w:r>
          </w:p>
        </w:tc>
        <w:tc>
          <w:tcPr>
            <w:tcW w:w="3587" w:type="dxa"/>
            <w:tcMar>
              <w:top w:w="17" w:type="dxa"/>
              <w:left w:w="57" w:type="dxa"/>
              <w:bottom w:w="17" w:type="dxa"/>
              <w:right w:w="57" w:type="dxa"/>
            </w:tcMar>
            <w:vAlign w:val="center"/>
          </w:tcPr>
          <w:p w14:paraId="3D83411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1.签订委托生产合同，并在有效期内，订单、采购合同不属于委托生产合同。</w:t>
            </w:r>
          </w:p>
          <w:p w14:paraId="0101F9A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2.合同约定委托生产的食品品种、委托期限等内容。</w:t>
            </w:r>
          </w:p>
          <w:p w14:paraId="63DB128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3.合同明确双方的质量责任和权利义务，对委托加工产品的原料来源、生产行为、检验行为等责任进行约定。</w:t>
            </w:r>
          </w:p>
          <w:p w14:paraId="59F53DB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合同中明确规定以下内容：委托方负有向受托方提供注册或备案产品配方、工艺流程、质量标准的义务，对受托方生产行为进行监督，并对委托生产的食品安全负责。受托方负有对委托方提供的原辅料、食品相关产品质量进行检验，并对标签、说明书内容的合法性进行检查的义务，受托方应当依照法律、法规、食品安全标准以及合同约定进行生产，对生产行为负责，并接受委托方的监督。</w:t>
            </w:r>
          </w:p>
        </w:tc>
        <w:tc>
          <w:tcPr>
            <w:tcW w:w="1136" w:type="dxa"/>
            <w:tcMar>
              <w:top w:w="17" w:type="dxa"/>
              <w:left w:w="57" w:type="dxa"/>
              <w:bottom w:w="17" w:type="dxa"/>
              <w:right w:w="57" w:type="dxa"/>
            </w:tcMar>
            <w:vAlign w:val="center"/>
          </w:tcPr>
          <w:p w14:paraId="722D98A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合同周期</w:t>
            </w:r>
          </w:p>
        </w:tc>
        <w:tc>
          <w:tcPr>
            <w:tcW w:w="1674" w:type="dxa"/>
            <w:tcMar>
              <w:top w:w="17" w:type="dxa"/>
              <w:left w:w="57" w:type="dxa"/>
              <w:bottom w:w="17" w:type="dxa"/>
              <w:right w:w="57" w:type="dxa"/>
            </w:tcMar>
            <w:vAlign w:val="center"/>
          </w:tcPr>
          <w:p w14:paraId="4AD3CEC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符合《保健食品生产许可审查细则》要求</w:t>
            </w:r>
          </w:p>
        </w:tc>
        <w:tc>
          <w:tcPr>
            <w:tcW w:w="717" w:type="dxa"/>
            <w:tcMar>
              <w:top w:w="17" w:type="dxa"/>
              <w:left w:w="57" w:type="dxa"/>
              <w:bottom w:w="17" w:type="dxa"/>
              <w:right w:w="57" w:type="dxa"/>
            </w:tcMar>
            <w:vAlign w:val="center"/>
          </w:tcPr>
          <w:p w14:paraId="619E653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6C1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418696A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273A549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1DBB549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0894870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委托生产</w:t>
            </w:r>
          </w:p>
        </w:tc>
        <w:tc>
          <w:tcPr>
            <w:tcW w:w="960" w:type="dxa"/>
            <w:tcMar>
              <w:top w:w="17" w:type="dxa"/>
              <w:left w:w="57" w:type="dxa"/>
              <w:bottom w:w="17" w:type="dxa"/>
              <w:right w:w="57" w:type="dxa"/>
            </w:tcMar>
            <w:vAlign w:val="center"/>
          </w:tcPr>
          <w:p w14:paraId="393ABDF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受托生产过程监督</w:t>
            </w:r>
          </w:p>
        </w:tc>
        <w:tc>
          <w:tcPr>
            <w:tcW w:w="2990" w:type="dxa"/>
            <w:tcMar>
              <w:top w:w="17" w:type="dxa"/>
              <w:left w:w="57" w:type="dxa"/>
              <w:bottom w:w="17" w:type="dxa"/>
              <w:right w:w="57" w:type="dxa"/>
            </w:tcMar>
            <w:vAlign w:val="center"/>
          </w:tcPr>
          <w:p w14:paraId="7D3426B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委托方未对受托方开展监督，或未保留监督记录。</w:t>
            </w:r>
          </w:p>
        </w:tc>
        <w:tc>
          <w:tcPr>
            <w:tcW w:w="3587" w:type="dxa"/>
            <w:tcMar>
              <w:top w:w="17" w:type="dxa"/>
              <w:left w:w="57" w:type="dxa"/>
              <w:bottom w:w="17" w:type="dxa"/>
              <w:right w:w="57" w:type="dxa"/>
            </w:tcMar>
            <w:vAlign w:val="center"/>
          </w:tcPr>
          <w:p w14:paraId="43D5937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受托方依照法律、法规、食品安全标准、注册或备案要求以及合同约定进行生产，接受委托方的监督并留存委托方的监督检查记录。</w:t>
            </w:r>
          </w:p>
        </w:tc>
        <w:tc>
          <w:tcPr>
            <w:tcW w:w="1136" w:type="dxa"/>
            <w:tcMar>
              <w:top w:w="17" w:type="dxa"/>
              <w:left w:w="57" w:type="dxa"/>
              <w:bottom w:w="17" w:type="dxa"/>
              <w:right w:w="57" w:type="dxa"/>
            </w:tcMar>
            <w:vAlign w:val="center"/>
          </w:tcPr>
          <w:p w14:paraId="4892170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合同周期</w:t>
            </w:r>
          </w:p>
        </w:tc>
        <w:tc>
          <w:tcPr>
            <w:tcW w:w="1674" w:type="dxa"/>
            <w:tcMar>
              <w:top w:w="17" w:type="dxa"/>
              <w:left w:w="57" w:type="dxa"/>
              <w:bottom w:w="17" w:type="dxa"/>
              <w:right w:w="57" w:type="dxa"/>
            </w:tcMar>
            <w:vAlign w:val="center"/>
          </w:tcPr>
          <w:p w14:paraId="18C1C76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符合法律、法规、食品安全标准、注册或备案要求、《保健食品生产许可审查细则》要求</w:t>
            </w:r>
          </w:p>
        </w:tc>
        <w:tc>
          <w:tcPr>
            <w:tcW w:w="717" w:type="dxa"/>
            <w:tcMar>
              <w:top w:w="17" w:type="dxa"/>
              <w:left w:w="57" w:type="dxa"/>
              <w:bottom w:w="17" w:type="dxa"/>
              <w:right w:w="57" w:type="dxa"/>
            </w:tcMar>
            <w:vAlign w:val="center"/>
          </w:tcPr>
          <w:p w14:paraId="4ABDF27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F674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0DB4BF9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33721BF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5303AF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3F364D4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委托生产</w:t>
            </w:r>
          </w:p>
        </w:tc>
        <w:tc>
          <w:tcPr>
            <w:tcW w:w="960" w:type="dxa"/>
            <w:tcMar>
              <w:top w:w="17" w:type="dxa"/>
              <w:left w:w="57" w:type="dxa"/>
              <w:bottom w:w="17" w:type="dxa"/>
              <w:right w:w="57" w:type="dxa"/>
            </w:tcMar>
            <w:vAlign w:val="center"/>
          </w:tcPr>
          <w:p w14:paraId="26F2E25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委托生产产品标签</w:t>
            </w:r>
          </w:p>
        </w:tc>
        <w:tc>
          <w:tcPr>
            <w:tcW w:w="2990" w:type="dxa"/>
            <w:tcMar>
              <w:top w:w="17" w:type="dxa"/>
              <w:left w:w="57" w:type="dxa"/>
              <w:bottom w:w="17" w:type="dxa"/>
              <w:right w:w="57" w:type="dxa"/>
            </w:tcMar>
            <w:vAlign w:val="center"/>
          </w:tcPr>
          <w:p w14:paraId="736F3E1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委托生产的食品标签标注委托方、受托方的名称、地址、联系方式等信息不全。</w:t>
            </w:r>
          </w:p>
        </w:tc>
        <w:tc>
          <w:tcPr>
            <w:tcW w:w="3587" w:type="dxa"/>
            <w:tcMar>
              <w:top w:w="17" w:type="dxa"/>
              <w:left w:w="57" w:type="dxa"/>
              <w:bottom w:w="17" w:type="dxa"/>
              <w:right w:w="57" w:type="dxa"/>
            </w:tcMar>
            <w:vAlign w:val="center"/>
          </w:tcPr>
          <w:p w14:paraId="6DADFFA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在受委托生产的食品标签中，标明委托方和受委托方的名称、地址、联系方式等内容。</w:t>
            </w:r>
          </w:p>
        </w:tc>
        <w:tc>
          <w:tcPr>
            <w:tcW w:w="1136" w:type="dxa"/>
            <w:tcMar>
              <w:top w:w="17" w:type="dxa"/>
              <w:left w:w="57" w:type="dxa"/>
              <w:bottom w:w="17" w:type="dxa"/>
              <w:right w:w="57" w:type="dxa"/>
            </w:tcMar>
            <w:vAlign w:val="center"/>
          </w:tcPr>
          <w:p w14:paraId="0CF95A3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42FC0A3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符合《保健食品生产许可审查细则》要求</w:t>
            </w:r>
          </w:p>
        </w:tc>
        <w:tc>
          <w:tcPr>
            <w:tcW w:w="717" w:type="dxa"/>
            <w:tcMar>
              <w:top w:w="17" w:type="dxa"/>
              <w:left w:w="57" w:type="dxa"/>
              <w:bottom w:w="17" w:type="dxa"/>
              <w:right w:w="57" w:type="dxa"/>
            </w:tcMar>
            <w:vAlign w:val="center"/>
          </w:tcPr>
          <w:p w14:paraId="25BAD6A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CA5E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198" w:hRule="atLeast"/>
          <w:jc w:val="center"/>
        </w:trPr>
        <w:tc>
          <w:tcPr>
            <w:tcW w:w="655" w:type="dxa"/>
            <w:tcMar>
              <w:top w:w="17" w:type="dxa"/>
              <w:left w:w="57" w:type="dxa"/>
              <w:bottom w:w="17" w:type="dxa"/>
              <w:right w:w="57" w:type="dxa"/>
            </w:tcMar>
            <w:vAlign w:val="center"/>
          </w:tcPr>
          <w:p w14:paraId="5325E95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2F3D712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4FEA02D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717D9C2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食品安全自查</w:t>
            </w:r>
          </w:p>
        </w:tc>
        <w:tc>
          <w:tcPr>
            <w:tcW w:w="960" w:type="dxa"/>
            <w:tcMar>
              <w:top w:w="17" w:type="dxa"/>
              <w:left w:w="57" w:type="dxa"/>
              <w:bottom w:w="17" w:type="dxa"/>
              <w:right w:w="57" w:type="dxa"/>
            </w:tcMar>
            <w:vAlign w:val="center"/>
          </w:tcPr>
          <w:p w14:paraId="75D9349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食品安全自查</w:t>
            </w:r>
          </w:p>
        </w:tc>
        <w:tc>
          <w:tcPr>
            <w:tcW w:w="2990" w:type="dxa"/>
            <w:tcMar>
              <w:top w:w="17" w:type="dxa"/>
              <w:left w:w="57" w:type="dxa"/>
              <w:bottom w:w="17" w:type="dxa"/>
              <w:right w:w="57" w:type="dxa"/>
            </w:tcMar>
            <w:vAlign w:val="center"/>
          </w:tcPr>
          <w:p w14:paraId="16980C1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1.未建立食品安全自查制度。</w:t>
            </w:r>
          </w:p>
          <w:p w14:paraId="664969B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2.未按照自查制度要求定期开展自查，缺少相关自查记录，如《每日食品安全检查记录》《每周食品安全排查治理报告》《每月食品安全调度会议纪要》。</w:t>
            </w:r>
          </w:p>
          <w:p w14:paraId="757E6DF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自查不能发现问题。发现食品安全问题，未立即采取措施。发现食品安全事故潜在风险的，未立即停止食品生产经营活动或未向所在地市场监管部门报告。生产条件发生变化，不再符合食品安全要求的，未立即采取整改措施。</w:t>
            </w:r>
          </w:p>
        </w:tc>
        <w:tc>
          <w:tcPr>
            <w:tcW w:w="3587" w:type="dxa"/>
            <w:tcMar>
              <w:top w:w="17" w:type="dxa"/>
              <w:left w:w="57" w:type="dxa"/>
              <w:bottom w:w="17" w:type="dxa"/>
              <w:right w:w="57" w:type="dxa"/>
            </w:tcMar>
            <w:vAlign w:val="center"/>
          </w:tcPr>
          <w:p w14:paraId="508BC66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1.建立食品安全自查制度，规定自查内容、频次、负责人、报告制度等，自查资料按规定存档。</w:t>
            </w:r>
          </w:p>
          <w:p w14:paraId="0A764B5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建立基于食品安全风险防控的动态管理机制，结合企业实际，落实自查要求，制定食品安全风险管控清单，建立健全日管控、周排查、月调度工作制度和机制。企业主要负责人每月至少听取1次食品安全总监管理工作情况汇报，查看相关管理记录，特别是《每月食品安全调度会议纪要》。食品安全总监或者食品安全员每周至少组织1次风险隐患排查，形成《每周食品安全排查治理报告》。食品安全员每日根据风险管控清单进行检查，形成《每日食品安全检查记录》。</w:t>
            </w:r>
          </w:p>
          <w:p w14:paraId="657CB51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3.生产条件发生变化，不再符合食品安全要求的，立即采取整改措施。有发生食品安全事故潜在风险的，立即停止食品生产经营活动，并按规定向所在地市场监管部门报告。</w:t>
            </w:r>
          </w:p>
          <w:p w14:paraId="0677448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4.将自查发现问题进行动态风险管控。</w:t>
            </w:r>
          </w:p>
        </w:tc>
        <w:tc>
          <w:tcPr>
            <w:tcW w:w="1136" w:type="dxa"/>
            <w:tcMar>
              <w:top w:w="17" w:type="dxa"/>
              <w:left w:w="57" w:type="dxa"/>
              <w:bottom w:w="17" w:type="dxa"/>
              <w:right w:w="57" w:type="dxa"/>
            </w:tcMar>
            <w:vAlign w:val="center"/>
          </w:tcPr>
          <w:p w14:paraId="7989D02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按需</w:t>
            </w:r>
          </w:p>
        </w:tc>
        <w:tc>
          <w:tcPr>
            <w:tcW w:w="1674" w:type="dxa"/>
            <w:tcMar>
              <w:top w:w="17" w:type="dxa"/>
              <w:left w:w="57" w:type="dxa"/>
              <w:bottom w:w="17" w:type="dxa"/>
              <w:right w:w="57" w:type="dxa"/>
            </w:tcMar>
            <w:vAlign w:val="center"/>
          </w:tcPr>
          <w:p w14:paraId="65C99B0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符合《食品安全法》《企业落实食品安全主体责任监督管理规定》要求</w:t>
            </w:r>
          </w:p>
        </w:tc>
        <w:tc>
          <w:tcPr>
            <w:tcW w:w="717" w:type="dxa"/>
            <w:tcMar>
              <w:top w:w="17" w:type="dxa"/>
              <w:left w:w="57" w:type="dxa"/>
              <w:bottom w:w="17" w:type="dxa"/>
              <w:right w:w="57" w:type="dxa"/>
            </w:tcMar>
            <w:vAlign w:val="center"/>
          </w:tcPr>
          <w:p w14:paraId="24527C0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020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233" w:hRule="atLeast"/>
          <w:jc w:val="center"/>
        </w:trPr>
        <w:tc>
          <w:tcPr>
            <w:tcW w:w="655" w:type="dxa"/>
            <w:tcMar>
              <w:top w:w="17" w:type="dxa"/>
              <w:left w:w="57" w:type="dxa"/>
              <w:bottom w:w="17" w:type="dxa"/>
              <w:right w:w="57" w:type="dxa"/>
            </w:tcMar>
            <w:vAlign w:val="center"/>
          </w:tcPr>
          <w:p w14:paraId="02DCFEB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6326F03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CFC596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18B85AE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食品安全自查</w:t>
            </w:r>
          </w:p>
        </w:tc>
        <w:tc>
          <w:tcPr>
            <w:tcW w:w="960" w:type="dxa"/>
            <w:tcMar>
              <w:top w:w="17" w:type="dxa"/>
              <w:left w:w="57" w:type="dxa"/>
              <w:bottom w:w="17" w:type="dxa"/>
              <w:right w:w="57" w:type="dxa"/>
            </w:tcMar>
            <w:vAlign w:val="center"/>
          </w:tcPr>
          <w:p w14:paraId="447170A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生产质量管理体系自查</w:t>
            </w:r>
          </w:p>
        </w:tc>
        <w:tc>
          <w:tcPr>
            <w:tcW w:w="2990" w:type="dxa"/>
            <w:tcMar>
              <w:top w:w="17" w:type="dxa"/>
              <w:left w:w="57" w:type="dxa"/>
              <w:bottom w:w="17" w:type="dxa"/>
              <w:right w:w="57" w:type="dxa"/>
            </w:tcMar>
            <w:vAlign w:val="center"/>
          </w:tcPr>
          <w:p w14:paraId="11F4664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1.未定期开展生产质量管理体系自查，或无记录。</w:t>
            </w:r>
          </w:p>
          <w:p w14:paraId="0D1CD4C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2.自查发现问题未做到全部完成闭环整改。</w:t>
            </w:r>
          </w:p>
          <w:p w14:paraId="14E7233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3.自查和整改结果未按时提交属地监管部门。</w:t>
            </w:r>
          </w:p>
        </w:tc>
        <w:tc>
          <w:tcPr>
            <w:tcW w:w="3587" w:type="dxa"/>
            <w:tcMar>
              <w:top w:w="17" w:type="dxa"/>
              <w:left w:w="57" w:type="dxa"/>
              <w:bottom w:w="17" w:type="dxa"/>
              <w:right w:w="57" w:type="dxa"/>
            </w:tcMar>
            <w:vAlign w:val="center"/>
          </w:tcPr>
          <w:p w14:paraId="1036CAF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1.每年按照要求对生产质量管理体系的运行情况进行不少于一次自查，保证其有效运行，并按照要求向市场监督管理部门提交自查报告。</w:t>
            </w:r>
          </w:p>
          <w:p w14:paraId="3F795BB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2.自查发现问题整改率达100%。</w:t>
            </w:r>
          </w:p>
          <w:p w14:paraId="473C47F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3.将自查发现问题进行动态风险管控。</w:t>
            </w:r>
          </w:p>
        </w:tc>
        <w:tc>
          <w:tcPr>
            <w:tcW w:w="1136" w:type="dxa"/>
            <w:tcMar>
              <w:top w:w="17" w:type="dxa"/>
              <w:left w:w="57" w:type="dxa"/>
              <w:bottom w:w="17" w:type="dxa"/>
              <w:right w:w="57" w:type="dxa"/>
            </w:tcMar>
            <w:vAlign w:val="center"/>
          </w:tcPr>
          <w:p w14:paraId="20AA9F1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每年</w:t>
            </w:r>
          </w:p>
        </w:tc>
        <w:tc>
          <w:tcPr>
            <w:tcW w:w="1674" w:type="dxa"/>
            <w:tcMar>
              <w:top w:w="17" w:type="dxa"/>
              <w:left w:w="57" w:type="dxa"/>
              <w:bottom w:w="17" w:type="dxa"/>
              <w:right w:w="57" w:type="dxa"/>
            </w:tcMar>
            <w:vAlign w:val="center"/>
          </w:tcPr>
          <w:p w14:paraId="1FEECE4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符合《食品安全法》要求</w:t>
            </w:r>
          </w:p>
        </w:tc>
        <w:tc>
          <w:tcPr>
            <w:tcW w:w="717" w:type="dxa"/>
            <w:tcMar>
              <w:top w:w="17" w:type="dxa"/>
              <w:left w:w="57" w:type="dxa"/>
              <w:bottom w:w="17" w:type="dxa"/>
              <w:right w:w="57" w:type="dxa"/>
            </w:tcMar>
            <w:vAlign w:val="center"/>
          </w:tcPr>
          <w:p w14:paraId="15AE9C9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26C1F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416" w:hRule="atLeast"/>
          <w:jc w:val="center"/>
        </w:trPr>
        <w:tc>
          <w:tcPr>
            <w:tcW w:w="655" w:type="dxa"/>
            <w:tcMar>
              <w:top w:w="17" w:type="dxa"/>
              <w:left w:w="57" w:type="dxa"/>
              <w:bottom w:w="17" w:type="dxa"/>
              <w:right w:w="57" w:type="dxa"/>
            </w:tcMar>
            <w:vAlign w:val="center"/>
          </w:tcPr>
          <w:p w14:paraId="17DADF1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7F55B98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37F61FA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7C41AFA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从业人员管理</w:t>
            </w:r>
          </w:p>
        </w:tc>
        <w:tc>
          <w:tcPr>
            <w:tcW w:w="960" w:type="dxa"/>
            <w:tcMar>
              <w:top w:w="17" w:type="dxa"/>
              <w:left w:w="57" w:type="dxa"/>
              <w:bottom w:w="17" w:type="dxa"/>
              <w:right w:w="57" w:type="dxa"/>
            </w:tcMar>
            <w:vAlign w:val="center"/>
          </w:tcPr>
          <w:p w14:paraId="1580213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人员资质</w:t>
            </w:r>
          </w:p>
        </w:tc>
        <w:tc>
          <w:tcPr>
            <w:tcW w:w="2990" w:type="dxa"/>
            <w:tcMar>
              <w:top w:w="17" w:type="dxa"/>
              <w:left w:w="57" w:type="dxa"/>
              <w:bottom w:w="17" w:type="dxa"/>
              <w:right w:w="57" w:type="dxa"/>
            </w:tcMar>
            <w:vAlign w:val="center"/>
          </w:tcPr>
          <w:p w14:paraId="01A75EB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1.生产管理部门负责人、质量管理部门负责人非专职人员、相互兼任。</w:t>
            </w:r>
          </w:p>
          <w:p w14:paraId="31F90E8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2.生产管理部门负责人、质量管理部门负责人学历或技术职称不符合相应要求。</w:t>
            </w:r>
          </w:p>
          <w:p w14:paraId="67F631C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3.不具有两名以上专职检验人员。</w:t>
            </w:r>
          </w:p>
          <w:p w14:paraId="1CB52ED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4.未按照《企业落实食品安全主体责任监督管理规定》要求配备食品安全管理及专业技术人员，食品安全总监、食品安全员未履行食品安全职责，未按要求检查食品安全工作。</w:t>
            </w:r>
          </w:p>
          <w:p w14:paraId="7A635B9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5.聘用禁止从事食品相关工作的人员从事食品工作。</w:t>
            </w:r>
          </w:p>
        </w:tc>
        <w:tc>
          <w:tcPr>
            <w:tcW w:w="3587" w:type="dxa"/>
            <w:tcMar>
              <w:top w:w="17" w:type="dxa"/>
              <w:left w:w="57" w:type="dxa"/>
              <w:bottom w:w="17" w:type="dxa"/>
              <w:right w:w="57" w:type="dxa"/>
            </w:tcMar>
            <w:vAlign w:val="center"/>
          </w:tcPr>
          <w:p w14:paraId="005D05C2">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1.生产管理部门负责人、质量管理部门负责人应为专职人员，不得相互兼任。</w:t>
            </w:r>
          </w:p>
          <w:p w14:paraId="0E3F80FF">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2.生产管理部门负责人和质量管理部门负责人应具备相关专业大专以上学历或中级技术职称，三年以上从事食品医药生产或质量管理经验。</w:t>
            </w:r>
          </w:p>
          <w:p w14:paraId="336A3E64">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3.配备两名以上专职检验人员，检验人员符合资质要求。</w:t>
            </w:r>
          </w:p>
          <w:p w14:paraId="79E9E812">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4.有明确的食品安全管理人员和负责人的任命书，食品安全总监、食品安全员按要求履行食品安全职责。</w:t>
            </w:r>
          </w:p>
          <w:p w14:paraId="142DBB10">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14:paraId="23AD1753">
            <w:pPr>
              <w:keepNext w:val="0"/>
              <w:keepLines w:val="0"/>
              <w:pageBreakBefore w:val="0"/>
              <w:widowControl w:val="0"/>
              <w:kinsoku/>
              <w:wordWrap/>
              <w:overflowPunct w:val="0"/>
              <w:topLinePunct w:val="0"/>
              <w:autoSpaceDE/>
              <w:autoSpaceDN/>
              <w:bidi w:val="0"/>
              <w:adjustRightInd w:val="0"/>
              <w:snapToGrid w:val="0"/>
              <w:spacing w:line="27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6.因食品安全犯罪被判处有期徒刑以上刑罚的，终身不得从事食品生产经营管理工作，也不得担任食品生产经营企业食品安全管理人员。</w:t>
            </w:r>
          </w:p>
        </w:tc>
        <w:tc>
          <w:tcPr>
            <w:tcW w:w="1136" w:type="dxa"/>
            <w:tcMar>
              <w:top w:w="17" w:type="dxa"/>
              <w:left w:w="57" w:type="dxa"/>
              <w:bottom w:w="17" w:type="dxa"/>
              <w:right w:w="57" w:type="dxa"/>
            </w:tcMar>
            <w:vAlign w:val="center"/>
          </w:tcPr>
          <w:p w14:paraId="296CD1A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按需</w:t>
            </w:r>
          </w:p>
        </w:tc>
        <w:tc>
          <w:tcPr>
            <w:tcW w:w="1674" w:type="dxa"/>
            <w:tcMar>
              <w:top w:w="17" w:type="dxa"/>
              <w:left w:w="57" w:type="dxa"/>
              <w:bottom w:w="17" w:type="dxa"/>
              <w:right w:w="57" w:type="dxa"/>
            </w:tcMar>
            <w:vAlign w:val="center"/>
          </w:tcPr>
          <w:p w14:paraId="68FBCD7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符合《食品安全法》《企业落实食品安全主体责任监督管理规定》《保健食品生产许可审查细则》要求</w:t>
            </w:r>
          </w:p>
        </w:tc>
        <w:tc>
          <w:tcPr>
            <w:tcW w:w="717" w:type="dxa"/>
            <w:tcMar>
              <w:top w:w="17" w:type="dxa"/>
              <w:left w:w="57" w:type="dxa"/>
              <w:bottom w:w="17" w:type="dxa"/>
              <w:right w:w="57" w:type="dxa"/>
            </w:tcMar>
            <w:vAlign w:val="center"/>
          </w:tcPr>
          <w:p w14:paraId="68989E7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660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1C37926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32DA2FE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3C189C0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3E58C3C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从业人员管理</w:t>
            </w:r>
          </w:p>
        </w:tc>
        <w:tc>
          <w:tcPr>
            <w:tcW w:w="960" w:type="dxa"/>
            <w:tcMar>
              <w:top w:w="17" w:type="dxa"/>
              <w:left w:w="57" w:type="dxa"/>
              <w:bottom w:w="17" w:type="dxa"/>
              <w:right w:w="57" w:type="dxa"/>
            </w:tcMar>
            <w:vAlign w:val="center"/>
          </w:tcPr>
          <w:p w14:paraId="3E1789C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人员培训</w:t>
            </w:r>
          </w:p>
        </w:tc>
        <w:tc>
          <w:tcPr>
            <w:tcW w:w="2990" w:type="dxa"/>
            <w:tcMar>
              <w:top w:w="17" w:type="dxa"/>
              <w:left w:w="57" w:type="dxa"/>
              <w:bottom w:w="17" w:type="dxa"/>
              <w:right w:w="57" w:type="dxa"/>
            </w:tcMar>
            <w:vAlign w:val="center"/>
          </w:tcPr>
          <w:p w14:paraId="23D8179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1.人员未经培训考核合格后上岗。</w:t>
            </w:r>
          </w:p>
          <w:p w14:paraId="4869006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2.培训考核记录不全、培训内容未包含食品安全标准及相关法律法规、岗位知识和操作技能。</w:t>
            </w:r>
          </w:p>
        </w:tc>
        <w:tc>
          <w:tcPr>
            <w:tcW w:w="3587" w:type="dxa"/>
            <w:tcMar>
              <w:top w:w="17" w:type="dxa"/>
              <w:left w:w="57" w:type="dxa"/>
              <w:bottom w:w="17" w:type="dxa"/>
              <w:right w:w="57" w:type="dxa"/>
            </w:tcMar>
            <w:vAlign w:val="center"/>
          </w:tcPr>
          <w:p w14:paraId="5C6B566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1.严格执行从业人员培训制度，有培训考核通过记录。</w:t>
            </w:r>
          </w:p>
          <w:p w14:paraId="6A85CC1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2.识别培训需求，落实年度培训计划。</w:t>
            </w:r>
          </w:p>
          <w:p w14:paraId="553462D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3.培训内容应根据不同岗位职责分别制定，至少包括保健食品相关法律法规、规范标准和食品安全知识等。</w:t>
            </w:r>
          </w:p>
          <w:p w14:paraId="6DBDF02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4.培训考核记录完整，对培训有效性进行评估。</w:t>
            </w:r>
          </w:p>
        </w:tc>
        <w:tc>
          <w:tcPr>
            <w:tcW w:w="1136" w:type="dxa"/>
            <w:tcMar>
              <w:top w:w="17" w:type="dxa"/>
              <w:left w:w="57" w:type="dxa"/>
              <w:bottom w:w="17" w:type="dxa"/>
              <w:right w:w="57" w:type="dxa"/>
            </w:tcMar>
            <w:vAlign w:val="center"/>
          </w:tcPr>
          <w:p w14:paraId="3F06401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每季度</w:t>
            </w:r>
          </w:p>
        </w:tc>
        <w:tc>
          <w:tcPr>
            <w:tcW w:w="1674" w:type="dxa"/>
            <w:tcMar>
              <w:top w:w="17" w:type="dxa"/>
              <w:left w:w="57" w:type="dxa"/>
              <w:bottom w:w="17" w:type="dxa"/>
              <w:right w:w="57" w:type="dxa"/>
            </w:tcMar>
            <w:vAlign w:val="center"/>
          </w:tcPr>
          <w:p w14:paraId="005AD3B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14881和内控要求</w:t>
            </w:r>
          </w:p>
        </w:tc>
        <w:tc>
          <w:tcPr>
            <w:tcW w:w="717" w:type="dxa"/>
            <w:tcMar>
              <w:top w:w="17" w:type="dxa"/>
              <w:left w:w="57" w:type="dxa"/>
              <w:bottom w:w="17" w:type="dxa"/>
              <w:right w:w="57" w:type="dxa"/>
            </w:tcMar>
            <w:vAlign w:val="center"/>
          </w:tcPr>
          <w:p w14:paraId="0F580CD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73B7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56E4295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75F112E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44B8502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4784CC4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从业人员管理</w:t>
            </w:r>
          </w:p>
        </w:tc>
        <w:tc>
          <w:tcPr>
            <w:tcW w:w="960" w:type="dxa"/>
            <w:tcMar>
              <w:top w:w="17" w:type="dxa"/>
              <w:left w:w="57" w:type="dxa"/>
              <w:bottom w:w="17" w:type="dxa"/>
              <w:right w:w="57" w:type="dxa"/>
            </w:tcMar>
            <w:vAlign w:val="center"/>
          </w:tcPr>
          <w:p w14:paraId="5990BA4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健康卫生</w:t>
            </w:r>
          </w:p>
        </w:tc>
        <w:tc>
          <w:tcPr>
            <w:tcW w:w="2990" w:type="dxa"/>
            <w:tcMar>
              <w:top w:w="17" w:type="dxa"/>
              <w:left w:w="57" w:type="dxa"/>
              <w:bottom w:w="17" w:type="dxa"/>
              <w:right w:w="57" w:type="dxa"/>
            </w:tcMar>
            <w:vAlign w:val="center"/>
          </w:tcPr>
          <w:p w14:paraId="7667178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1.从业人员无健康证或健康证过期。</w:t>
            </w:r>
          </w:p>
          <w:p w14:paraId="7B77CB0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2.安排患有痢疾、伤寒、甲型病毒性肝炎、戊型病毒性肝炎等消化道传染病的人员，以及患有活动性肺结核、化脓性或者渗出性皮肤病等有碍食品安全的疾病的人员，从事接触直接入口食品的工作。</w:t>
            </w:r>
          </w:p>
        </w:tc>
        <w:tc>
          <w:tcPr>
            <w:tcW w:w="3587" w:type="dxa"/>
            <w:tcMar>
              <w:top w:w="17" w:type="dxa"/>
              <w:left w:w="57" w:type="dxa"/>
              <w:bottom w:w="17" w:type="dxa"/>
              <w:right w:w="57" w:type="dxa"/>
            </w:tcMar>
            <w:vAlign w:val="center"/>
          </w:tcPr>
          <w:p w14:paraId="34E731E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1.对食品加工人员开展健康证检查。</w:t>
            </w:r>
          </w:p>
          <w:p w14:paraId="4777388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2.新员工需有入职体检，取得健康证明后方可从事直接接触食品的生产工作。</w:t>
            </w:r>
          </w:p>
          <w:p w14:paraId="18EE6F8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从事接触直接入口食品的生产工作人员身体健康状况要每日例行汇报、例行检查。禁止患有痢疾、伤寒、甲型病毒性肝炎、戊型病毒性肝炎等消化道传染病的人员，以及患有活动性肺结核、化脓性或者渗出性皮肤病等有碍食品安全的疾病的人员，从事接触直接入口食品的工作。</w:t>
            </w:r>
          </w:p>
        </w:tc>
        <w:tc>
          <w:tcPr>
            <w:tcW w:w="1136" w:type="dxa"/>
            <w:tcMar>
              <w:top w:w="17" w:type="dxa"/>
              <w:left w:w="57" w:type="dxa"/>
              <w:bottom w:w="17" w:type="dxa"/>
              <w:right w:w="57" w:type="dxa"/>
            </w:tcMar>
            <w:vAlign w:val="center"/>
          </w:tcPr>
          <w:p w14:paraId="5CFE941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1：每月</w:t>
            </w:r>
          </w:p>
          <w:p w14:paraId="4D1E135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2：按需</w:t>
            </w:r>
          </w:p>
          <w:p w14:paraId="7A62FA8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3：每日</w:t>
            </w:r>
          </w:p>
        </w:tc>
        <w:tc>
          <w:tcPr>
            <w:tcW w:w="1674" w:type="dxa"/>
            <w:tcMar>
              <w:top w:w="17" w:type="dxa"/>
              <w:left w:w="57" w:type="dxa"/>
              <w:bottom w:w="17" w:type="dxa"/>
              <w:right w:w="57" w:type="dxa"/>
            </w:tcMar>
            <w:vAlign w:val="center"/>
          </w:tcPr>
          <w:p w14:paraId="2443EDB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 要求</w:t>
            </w:r>
          </w:p>
        </w:tc>
        <w:tc>
          <w:tcPr>
            <w:tcW w:w="717" w:type="dxa"/>
            <w:tcMar>
              <w:top w:w="17" w:type="dxa"/>
              <w:left w:w="57" w:type="dxa"/>
              <w:bottom w:w="17" w:type="dxa"/>
              <w:right w:w="57" w:type="dxa"/>
            </w:tcMar>
            <w:vAlign w:val="center"/>
          </w:tcPr>
          <w:p w14:paraId="5BA7CEA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4EEF1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6115A08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386F897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4D52A04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73F823D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信息记录和追溯</w:t>
            </w:r>
          </w:p>
        </w:tc>
        <w:tc>
          <w:tcPr>
            <w:tcW w:w="960" w:type="dxa"/>
            <w:tcMar>
              <w:top w:w="17" w:type="dxa"/>
              <w:left w:w="57" w:type="dxa"/>
              <w:bottom w:w="17" w:type="dxa"/>
              <w:right w:w="57" w:type="dxa"/>
            </w:tcMar>
            <w:vAlign w:val="center"/>
          </w:tcPr>
          <w:p w14:paraId="76B617D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追溯体系</w:t>
            </w:r>
          </w:p>
        </w:tc>
        <w:tc>
          <w:tcPr>
            <w:tcW w:w="2990" w:type="dxa"/>
            <w:tcMar>
              <w:top w:w="17" w:type="dxa"/>
              <w:left w:w="57" w:type="dxa"/>
              <w:bottom w:w="17" w:type="dxa"/>
              <w:right w:w="57" w:type="dxa"/>
            </w:tcMar>
            <w:vAlign w:val="center"/>
          </w:tcPr>
          <w:p w14:paraId="5A81CD8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1.食品安全追溯体系未有效运行，记录不能满足食品安全追溯要求，不能对食品生产中采购、加工、贮存、检验、销售等环节进行有效追溯。</w:t>
            </w:r>
          </w:p>
          <w:p w14:paraId="4A49178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2.追溯信息记录不真实或不准确。</w:t>
            </w:r>
          </w:p>
          <w:p w14:paraId="3A7C8D1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3.电子记录信息与纸质记录信息不一致。</w:t>
            </w:r>
          </w:p>
          <w:p w14:paraId="66D0C9A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4.未按要求保存食品安全追溯记录。</w:t>
            </w:r>
          </w:p>
        </w:tc>
        <w:tc>
          <w:tcPr>
            <w:tcW w:w="3587" w:type="dxa"/>
            <w:tcMar>
              <w:top w:w="17" w:type="dxa"/>
              <w:left w:w="57" w:type="dxa"/>
              <w:bottom w:w="17" w:type="dxa"/>
              <w:right w:w="57" w:type="dxa"/>
            </w:tcMar>
            <w:vAlign w:val="center"/>
          </w:tcPr>
          <w:p w14:paraId="5B110B2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1.建立食品安全追溯体系，可采用信息化手段采集留存生产经营信息。</w:t>
            </w:r>
          </w:p>
          <w:p w14:paraId="7C74B9D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2.建立并实施食品安全追溯体系相关制度文件，食品安全追溯信息至少包括进货查验记录、批生产记录、出厂检验、销售记录等信息。</w:t>
            </w:r>
          </w:p>
          <w:p w14:paraId="4C48101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3.应可以通过产品名称和批号对生产全过程进行追溯，进货查验、生产、出厂检验、食品销售等环节记录应相关关联可追溯。</w:t>
            </w:r>
          </w:p>
          <w:p w14:paraId="670D541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4.记录按规定保存期限保存。</w:t>
            </w:r>
          </w:p>
        </w:tc>
        <w:tc>
          <w:tcPr>
            <w:tcW w:w="1136" w:type="dxa"/>
            <w:tcMar>
              <w:top w:w="17" w:type="dxa"/>
              <w:left w:w="57" w:type="dxa"/>
              <w:bottom w:w="17" w:type="dxa"/>
              <w:right w:w="57" w:type="dxa"/>
            </w:tcMar>
            <w:vAlign w:val="center"/>
          </w:tcPr>
          <w:p w14:paraId="1FDDCB6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每年</w:t>
            </w:r>
          </w:p>
        </w:tc>
        <w:tc>
          <w:tcPr>
            <w:tcW w:w="1674" w:type="dxa"/>
            <w:tcMar>
              <w:top w:w="17" w:type="dxa"/>
              <w:left w:w="57" w:type="dxa"/>
              <w:bottom w:w="17" w:type="dxa"/>
              <w:right w:w="57" w:type="dxa"/>
            </w:tcMar>
            <w:vAlign w:val="center"/>
          </w:tcPr>
          <w:p w14:paraId="1CECA41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符合《食品安全法》《保健食品生产许可审查细则》、GB 14881要求</w:t>
            </w:r>
          </w:p>
        </w:tc>
        <w:tc>
          <w:tcPr>
            <w:tcW w:w="717" w:type="dxa"/>
            <w:tcMar>
              <w:top w:w="17" w:type="dxa"/>
              <w:left w:w="57" w:type="dxa"/>
              <w:bottom w:w="17" w:type="dxa"/>
              <w:right w:w="57" w:type="dxa"/>
            </w:tcMar>
            <w:vAlign w:val="center"/>
          </w:tcPr>
          <w:p w14:paraId="3343A85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1B55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1AF9FBA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25EE87B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4A9EEBB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基础风险</w:t>
            </w:r>
          </w:p>
        </w:tc>
        <w:tc>
          <w:tcPr>
            <w:tcW w:w="973" w:type="dxa"/>
            <w:tcMar>
              <w:top w:w="17" w:type="dxa"/>
              <w:left w:w="57" w:type="dxa"/>
              <w:bottom w:w="17" w:type="dxa"/>
              <w:right w:w="57" w:type="dxa"/>
            </w:tcMar>
            <w:vAlign w:val="center"/>
          </w:tcPr>
          <w:p w14:paraId="524594C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问题整改</w:t>
            </w:r>
          </w:p>
        </w:tc>
        <w:tc>
          <w:tcPr>
            <w:tcW w:w="960" w:type="dxa"/>
            <w:tcMar>
              <w:top w:w="17" w:type="dxa"/>
              <w:left w:w="57" w:type="dxa"/>
              <w:bottom w:w="17" w:type="dxa"/>
              <w:right w:w="57" w:type="dxa"/>
            </w:tcMar>
            <w:vAlign w:val="center"/>
          </w:tcPr>
          <w:p w14:paraId="1FFB203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监督检查、自查发现问题未整改落实到位</w:t>
            </w:r>
          </w:p>
        </w:tc>
        <w:tc>
          <w:tcPr>
            <w:tcW w:w="2990" w:type="dxa"/>
            <w:tcMar>
              <w:top w:w="17" w:type="dxa"/>
              <w:left w:w="57" w:type="dxa"/>
              <w:bottom w:w="17" w:type="dxa"/>
              <w:right w:w="57" w:type="dxa"/>
            </w:tcMar>
            <w:vAlign w:val="center"/>
          </w:tcPr>
          <w:p w14:paraId="4D9B536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1.监督检查发现的问题未完成整改。</w:t>
            </w:r>
          </w:p>
          <w:p w14:paraId="4091F36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2.包保干部督导发现的问题未完成整改。</w:t>
            </w:r>
          </w:p>
          <w:p w14:paraId="71106D7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3.企业自查发现的问题未完成整改。</w:t>
            </w:r>
          </w:p>
          <w:p w14:paraId="4707C74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4.生产许可现场核查发现的问题未完成整改。</w:t>
            </w:r>
          </w:p>
        </w:tc>
        <w:tc>
          <w:tcPr>
            <w:tcW w:w="3587" w:type="dxa"/>
            <w:tcMar>
              <w:top w:w="17" w:type="dxa"/>
              <w:left w:w="57" w:type="dxa"/>
              <w:bottom w:w="17" w:type="dxa"/>
              <w:right w:w="57" w:type="dxa"/>
            </w:tcMar>
            <w:vAlign w:val="center"/>
          </w:tcPr>
          <w:p w14:paraId="06441D35">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1.接受监督检查发现问题，及时整改消除食品安全隐患，并就整改问题及时对员工进行培训，持续保持整改效果，对发现的问题进行动态风险管控。</w:t>
            </w:r>
          </w:p>
          <w:p w14:paraId="71815A7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2.对包保干部督导发现问题，及时整改消除食品安全隐患，并就整改问题及时对员工进行培训，持续保持整改效果，对发现的问题进行动态风险管控。</w:t>
            </w:r>
          </w:p>
          <w:p w14:paraId="63CF1378">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3.自查发现问题，及时整改消除食品安全隐患，并就整改问题及时对员工进行培训，持续保持整改效果，对发现的问题进行动态风险管控。</w:t>
            </w:r>
          </w:p>
          <w:p w14:paraId="49E8EDD9">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4.生产许可现场核查发现问题，及时整改消除食品安全隐患，并就整改问题及时对员工进行培训，持续保持整改效果，对发现的问题进行动态风险管控。</w:t>
            </w:r>
          </w:p>
        </w:tc>
        <w:tc>
          <w:tcPr>
            <w:tcW w:w="1136" w:type="dxa"/>
            <w:tcMar>
              <w:top w:w="17" w:type="dxa"/>
              <w:left w:w="57" w:type="dxa"/>
              <w:bottom w:w="17" w:type="dxa"/>
              <w:right w:w="57" w:type="dxa"/>
            </w:tcMar>
            <w:vAlign w:val="center"/>
          </w:tcPr>
          <w:p w14:paraId="2030D88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1-2：按需</w:t>
            </w:r>
          </w:p>
          <w:p w14:paraId="4413BEF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3：每年</w:t>
            </w:r>
          </w:p>
          <w:p w14:paraId="5C4B93B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4：按需</w:t>
            </w:r>
          </w:p>
        </w:tc>
        <w:tc>
          <w:tcPr>
            <w:tcW w:w="1674" w:type="dxa"/>
            <w:tcMar>
              <w:top w:w="17" w:type="dxa"/>
              <w:left w:w="57" w:type="dxa"/>
              <w:bottom w:w="17" w:type="dxa"/>
              <w:right w:w="57" w:type="dxa"/>
            </w:tcMar>
            <w:vAlign w:val="center"/>
          </w:tcPr>
          <w:p w14:paraId="7FF0FDD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符合《食品安全法》要求</w:t>
            </w:r>
          </w:p>
        </w:tc>
        <w:tc>
          <w:tcPr>
            <w:tcW w:w="717" w:type="dxa"/>
            <w:tcMar>
              <w:top w:w="17" w:type="dxa"/>
              <w:left w:w="57" w:type="dxa"/>
              <w:bottom w:w="17" w:type="dxa"/>
              <w:right w:w="57" w:type="dxa"/>
            </w:tcMar>
            <w:vAlign w:val="center"/>
          </w:tcPr>
          <w:p w14:paraId="205B944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0650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1A79FEA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52E2EA5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1A3F069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7AB0110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进货查验</w:t>
            </w:r>
          </w:p>
        </w:tc>
        <w:tc>
          <w:tcPr>
            <w:tcW w:w="960" w:type="dxa"/>
            <w:tcMar>
              <w:top w:w="17" w:type="dxa"/>
              <w:left w:w="57" w:type="dxa"/>
              <w:bottom w:w="17" w:type="dxa"/>
              <w:right w:w="57" w:type="dxa"/>
            </w:tcMar>
            <w:vAlign w:val="center"/>
          </w:tcPr>
          <w:p w14:paraId="68576E6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原辅料、内包材质量标准</w:t>
            </w:r>
          </w:p>
        </w:tc>
        <w:tc>
          <w:tcPr>
            <w:tcW w:w="2990" w:type="dxa"/>
            <w:tcMar>
              <w:top w:w="17" w:type="dxa"/>
              <w:left w:w="57" w:type="dxa"/>
              <w:bottom w:w="17" w:type="dxa"/>
              <w:right w:w="57" w:type="dxa"/>
            </w:tcMar>
            <w:vAlign w:val="center"/>
          </w:tcPr>
          <w:p w14:paraId="1CB453F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1.未制定原辅料、内包材质量标准。</w:t>
            </w:r>
          </w:p>
          <w:p w14:paraId="5FBEDC4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2.原辅料、内包材质量标准已失效。</w:t>
            </w:r>
          </w:p>
          <w:p w14:paraId="24C9191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3.原辅料、内包材检验标准与产品注册或备案的技术要求不一致。</w:t>
            </w:r>
          </w:p>
          <w:p w14:paraId="684F5F5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4.购进的原料提取物的来源、制法、检验报告不符合质量标准要求。</w:t>
            </w:r>
          </w:p>
          <w:p w14:paraId="36B02F7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5.购进的复配营养素的产品配方、生产工艺、检验报告不符合质量标准要求。</w:t>
            </w:r>
          </w:p>
        </w:tc>
        <w:tc>
          <w:tcPr>
            <w:tcW w:w="3587" w:type="dxa"/>
            <w:tcMar>
              <w:top w:w="17" w:type="dxa"/>
              <w:left w:w="57" w:type="dxa"/>
              <w:bottom w:w="17" w:type="dxa"/>
              <w:right w:w="57" w:type="dxa"/>
            </w:tcMar>
            <w:vAlign w:val="center"/>
          </w:tcPr>
          <w:p w14:paraId="11AB9A5C">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1.根据食品安全标准、产品技术要求和企业标准，制定原辅料、内包材质量标准，及时进行标准查新，确保符合现行有效标准要求。</w:t>
            </w:r>
          </w:p>
          <w:p w14:paraId="7CB38B5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2.根据原料提取物质量标准，确认采购原料提取物的来源、制法、检验报告与质量标准要求的一致性。</w:t>
            </w:r>
          </w:p>
          <w:p w14:paraId="54BA7226">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3.根据复配营养素质量标准，确认复配营养素的产品配方、生产工艺、检验报告与质量标准要求的一致性。</w:t>
            </w:r>
          </w:p>
          <w:p w14:paraId="0D566B03">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4.新供应商审核时，确认原料提取物的来源、制法符合产品质量标准要求，确认复配营养素的配方、生产工艺符合产品质量标准要求。</w:t>
            </w:r>
          </w:p>
        </w:tc>
        <w:tc>
          <w:tcPr>
            <w:tcW w:w="1136" w:type="dxa"/>
            <w:tcMar>
              <w:top w:w="17" w:type="dxa"/>
              <w:left w:w="57" w:type="dxa"/>
              <w:bottom w:w="17" w:type="dxa"/>
              <w:right w:w="57" w:type="dxa"/>
            </w:tcMar>
            <w:vAlign w:val="center"/>
          </w:tcPr>
          <w:p w14:paraId="629AFE7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1：每年</w:t>
            </w:r>
          </w:p>
          <w:p w14:paraId="7D0A741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2-3：每批</w:t>
            </w:r>
          </w:p>
          <w:p w14:paraId="19A2A04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4：按需</w:t>
            </w:r>
          </w:p>
        </w:tc>
        <w:tc>
          <w:tcPr>
            <w:tcW w:w="1674" w:type="dxa"/>
            <w:tcMar>
              <w:top w:w="17" w:type="dxa"/>
              <w:left w:w="57" w:type="dxa"/>
              <w:bottom w:w="17" w:type="dxa"/>
              <w:right w:w="57" w:type="dxa"/>
            </w:tcMar>
            <w:vAlign w:val="center"/>
          </w:tcPr>
          <w:p w14:paraId="71BD017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符合《保健食品生产许可审查细则》、保健食品注册或备案的技术要求、企业标准和内控要求</w:t>
            </w:r>
          </w:p>
        </w:tc>
        <w:tc>
          <w:tcPr>
            <w:tcW w:w="717" w:type="dxa"/>
            <w:tcMar>
              <w:top w:w="17" w:type="dxa"/>
              <w:left w:w="57" w:type="dxa"/>
              <w:bottom w:w="17" w:type="dxa"/>
              <w:right w:w="57" w:type="dxa"/>
            </w:tcMar>
            <w:vAlign w:val="center"/>
          </w:tcPr>
          <w:p w14:paraId="77411D5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25B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707" w:hRule="atLeast"/>
          <w:jc w:val="center"/>
        </w:trPr>
        <w:tc>
          <w:tcPr>
            <w:tcW w:w="655" w:type="dxa"/>
            <w:tcMar>
              <w:top w:w="17" w:type="dxa"/>
              <w:left w:w="57" w:type="dxa"/>
              <w:bottom w:w="17" w:type="dxa"/>
              <w:right w:w="57" w:type="dxa"/>
            </w:tcMar>
            <w:vAlign w:val="center"/>
          </w:tcPr>
          <w:p w14:paraId="3A044D6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7F6E0BE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557380C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05044C3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进货查验</w:t>
            </w:r>
          </w:p>
        </w:tc>
        <w:tc>
          <w:tcPr>
            <w:tcW w:w="960" w:type="dxa"/>
            <w:tcMar>
              <w:top w:w="17" w:type="dxa"/>
              <w:left w:w="57" w:type="dxa"/>
              <w:bottom w:w="17" w:type="dxa"/>
              <w:right w:w="57" w:type="dxa"/>
            </w:tcMar>
            <w:vAlign w:val="center"/>
          </w:tcPr>
          <w:p w14:paraId="453D00D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物料入厂验收</w:t>
            </w:r>
          </w:p>
        </w:tc>
        <w:tc>
          <w:tcPr>
            <w:tcW w:w="2990" w:type="dxa"/>
            <w:tcMar>
              <w:top w:w="17" w:type="dxa"/>
              <w:left w:w="57" w:type="dxa"/>
              <w:bottom w:w="17" w:type="dxa"/>
              <w:right w:w="57" w:type="dxa"/>
            </w:tcMar>
            <w:vAlign w:val="center"/>
          </w:tcPr>
          <w:p w14:paraId="0CD72E5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1.未逐批验收购进的原辅料及包装材料，导致未经查验或未经检验的物料投入生产使用。</w:t>
            </w:r>
          </w:p>
          <w:p w14:paraId="5199FF2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2.未按取样规程规定进行原辅料、包装材料的取样，导致取样不具备代表性。</w:t>
            </w:r>
          </w:p>
          <w:p w14:paraId="117E9FE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3.物料包装不良、有破损、已污染、引入异物，无标签或标签错误，物料重量不足。</w:t>
            </w:r>
          </w:p>
        </w:tc>
        <w:tc>
          <w:tcPr>
            <w:tcW w:w="3587" w:type="dxa"/>
            <w:tcMar>
              <w:top w:w="17" w:type="dxa"/>
              <w:left w:w="57" w:type="dxa"/>
              <w:bottom w:w="17" w:type="dxa"/>
              <w:right w:w="57" w:type="dxa"/>
            </w:tcMar>
            <w:vAlign w:val="center"/>
          </w:tcPr>
          <w:p w14:paraId="59AEF7D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1.按照验收规程进行物料入厂验收，检查物料包装是否完整、有无污染、异物等异常，核对是否有标签，标签是否清晰，标签标示的名称、数量、生产日期或者批号等信息是否与检验报告、实物、订单一致。</w:t>
            </w:r>
          </w:p>
          <w:p w14:paraId="69F9BFC8">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2.取样人员按照经批准的取样规则进行取样，并做好清晰的样品标识，物料经检验合格后入库。</w:t>
            </w:r>
          </w:p>
          <w:p w14:paraId="30E964A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3.物料到货时按比例抽检重量是否与标签净含量相符。</w:t>
            </w:r>
          </w:p>
        </w:tc>
        <w:tc>
          <w:tcPr>
            <w:tcW w:w="1136" w:type="dxa"/>
            <w:tcMar>
              <w:top w:w="17" w:type="dxa"/>
              <w:left w:w="57" w:type="dxa"/>
              <w:bottom w:w="17" w:type="dxa"/>
              <w:right w:w="57" w:type="dxa"/>
            </w:tcMar>
            <w:vAlign w:val="center"/>
          </w:tcPr>
          <w:p w14:paraId="4A8C946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23C099D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14881和内控要求</w:t>
            </w:r>
          </w:p>
        </w:tc>
        <w:tc>
          <w:tcPr>
            <w:tcW w:w="717" w:type="dxa"/>
            <w:tcMar>
              <w:top w:w="17" w:type="dxa"/>
              <w:left w:w="57" w:type="dxa"/>
              <w:bottom w:w="17" w:type="dxa"/>
              <w:right w:w="57" w:type="dxa"/>
            </w:tcMar>
            <w:vAlign w:val="center"/>
          </w:tcPr>
          <w:p w14:paraId="43D0CCA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1223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2027" w:hRule="atLeast"/>
          <w:jc w:val="center"/>
        </w:trPr>
        <w:tc>
          <w:tcPr>
            <w:tcW w:w="655" w:type="dxa"/>
            <w:tcMar>
              <w:top w:w="17" w:type="dxa"/>
              <w:left w:w="57" w:type="dxa"/>
              <w:bottom w:w="17" w:type="dxa"/>
              <w:right w:w="57" w:type="dxa"/>
            </w:tcMar>
            <w:vAlign w:val="center"/>
          </w:tcPr>
          <w:p w14:paraId="1A96721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21EFBCF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2F56C2F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4D17795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物料储存过程</w:t>
            </w:r>
          </w:p>
        </w:tc>
        <w:tc>
          <w:tcPr>
            <w:tcW w:w="960" w:type="dxa"/>
            <w:tcMar>
              <w:top w:w="17" w:type="dxa"/>
              <w:left w:w="57" w:type="dxa"/>
              <w:bottom w:w="17" w:type="dxa"/>
              <w:right w:w="57" w:type="dxa"/>
            </w:tcMar>
            <w:vAlign w:val="center"/>
          </w:tcPr>
          <w:p w14:paraId="11DAC85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物料储存</w:t>
            </w:r>
          </w:p>
        </w:tc>
        <w:tc>
          <w:tcPr>
            <w:tcW w:w="2990" w:type="dxa"/>
            <w:tcMar>
              <w:top w:w="17" w:type="dxa"/>
              <w:left w:w="57" w:type="dxa"/>
              <w:bottom w:w="17" w:type="dxa"/>
              <w:right w:w="57" w:type="dxa"/>
            </w:tcMar>
            <w:vAlign w:val="center"/>
          </w:tcPr>
          <w:p w14:paraId="5D6B2B89">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1.库存原辅料、包装材料未严格按照储存货位管理，导致发货错误。</w:t>
            </w:r>
          </w:p>
          <w:p w14:paraId="0DFFF4E2">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2.物料和成品未设置专库或专区管理，例如：保健食品原料与药品原料使用同一库房混放。</w:t>
            </w:r>
          </w:p>
          <w:p w14:paraId="6D9C4FCF">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3.原辅料、包装材料未按待检、合格和不合格严格区分管理。成品仓库采用信息化管理仓库，未在管理系统内进行电子标注或区分。</w:t>
            </w:r>
          </w:p>
          <w:p w14:paraId="36471DEB">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4.有贮存温湿度要求的，仓库未安装温湿度控制设备或者设备不能正常使用，如硬胶囊剂生产用空心胶囊未按要求阴凉存放。仓库温湿度控制设备未进行定期检查和记录。</w:t>
            </w:r>
          </w:p>
          <w:p w14:paraId="709B1634">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5.食用酒精库或白酒库不符合防爆要求。</w:t>
            </w:r>
          </w:p>
        </w:tc>
        <w:tc>
          <w:tcPr>
            <w:tcW w:w="3587" w:type="dxa"/>
            <w:tcMar>
              <w:top w:w="17" w:type="dxa"/>
              <w:left w:w="57" w:type="dxa"/>
              <w:bottom w:w="17" w:type="dxa"/>
              <w:right w:w="57" w:type="dxa"/>
            </w:tcMar>
            <w:vAlign w:val="center"/>
          </w:tcPr>
          <w:p w14:paraId="629590A4">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1.入库存放的原辅料、包装材料严格按照储存货位管理。</w:t>
            </w:r>
          </w:p>
          <w:p w14:paraId="7BDFCD03">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2.物料和成品设置专库或专区管理，并按待检、合格和不合格严格分区管理。</w:t>
            </w:r>
          </w:p>
          <w:p w14:paraId="1858D156">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有贮存温湿度要求的原辅料或产品，仓库应设有温、湿度控制设施，即有温度要求的应安装空调等装置，有湿度要求的应具备除湿装置。各类冷库应能根据产品的要求达到贮存规定的温度，并设有可正确指示库内温度的指</w:t>
            </w:r>
            <w:r>
              <w:rPr>
                <w:rFonts w:hint="eastAsia" w:ascii="Times New Roman" w:hAnsi="Times New Roman" w:eastAsia="仿宋_GB2312" w:cs="仿宋_GB2312"/>
                <w:color w:val="000000" w:themeColor="text1"/>
                <w:spacing w:val="-11"/>
                <w:sz w:val="24"/>
                <w14:textFill>
                  <w14:solidFill>
                    <w14:schemeClr w14:val="tx1"/>
                  </w14:solidFill>
                </w14:textFill>
              </w:rPr>
              <w:t>示设施，装有温度自动控制器。所有</w:t>
            </w:r>
            <w:r>
              <w:rPr>
                <w:rFonts w:hint="eastAsia" w:ascii="Times New Roman" w:hAnsi="Times New Roman" w:eastAsia="仿宋_GB2312" w:cs="仿宋_GB2312"/>
                <w:color w:val="000000" w:themeColor="text1"/>
                <w:sz w:val="24"/>
                <w14:textFill>
                  <w14:solidFill>
                    <w14:schemeClr w14:val="tx1"/>
                  </w14:solidFill>
                </w14:textFill>
              </w:rPr>
              <w:t>温湿度控制应定期检查和记录。</w:t>
            </w:r>
          </w:p>
          <w:p w14:paraId="211E38A0">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4.酒精大量贮存的应设专门的酒精库，应阴凉、干燥、通风，应有防高温、火种、静电、雷电的设施，在贮存区域应有醒目的“严禁火种”的警示牌。</w:t>
            </w:r>
          </w:p>
          <w:p w14:paraId="4A7A993B">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5.白酒库应有防火、防爆、防尘设施，库内应阴凉干燥。</w:t>
            </w:r>
          </w:p>
        </w:tc>
        <w:tc>
          <w:tcPr>
            <w:tcW w:w="1136" w:type="dxa"/>
            <w:tcMar>
              <w:top w:w="17" w:type="dxa"/>
              <w:left w:w="57" w:type="dxa"/>
              <w:bottom w:w="17" w:type="dxa"/>
              <w:right w:w="57" w:type="dxa"/>
            </w:tcMar>
            <w:vAlign w:val="center"/>
          </w:tcPr>
          <w:p w14:paraId="54ACBBD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74" w:type="dxa"/>
            <w:tcMar>
              <w:top w:w="17" w:type="dxa"/>
              <w:left w:w="57" w:type="dxa"/>
              <w:bottom w:w="17" w:type="dxa"/>
              <w:right w:w="57" w:type="dxa"/>
            </w:tcMar>
            <w:vAlign w:val="center"/>
          </w:tcPr>
          <w:p w14:paraId="3D1F4D4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4524B2F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4502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5267" w:hRule="atLeast"/>
          <w:jc w:val="center"/>
        </w:trPr>
        <w:tc>
          <w:tcPr>
            <w:tcW w:w="655" w:type="dxa"/>
            <w:tcMar>
              <w:top w:w="17" w:type="dxa"/>
              <w:left w:w="57" w:type="dxa"/>
              <w:bottom w:w="17" w:type="dxa"/>
              <w:right w:w="57" w:type="dxa"/>
            </w:tcMar>
            <w:vAlign w:val="center"/>
          </w:tcPr>
          <w:p w14:paraId="3537996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31CCA66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48B9721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4D6DA53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物料储存过程</w:t>
            </w:r>
          </w:p>
        </w:tc>
        <w:tc>
          <w:tcPr>
            <w:tcW w:w="960" w:type="dxa"/>
            <w:tcMar>
              <w:top w:w="17" w:type="dxa"/>
              <w:left w:w="57" w:type="dxa"/>
              <w:bottom w:w="17" w:type="dxa"/>
              <w:right w:w="57" w:type="dxa"/>
            </w:tcMar>
            <w:vAlign w:val="center"/>
          </w:tcPr>
          <w:p w14:paraId="1075943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物料领用</w:t>
            </w:r>
          </w:p>
        </w:tc>
        <w:tc>
          <w:tcPr>
            <w:tcW w:w="2990" w:type="dxa"/>
            <w:tcMar>
              <w:top w:w="17" w:type="dxa"/>
              <w:left w:w="57" w:type="dxa"/>
              <w:bottom w:w="17" w:type="dxa"/>
              <w:right w:w="57" w:type="dxa"/>
            </w:tcMar>
            <w:vAlign w:val="center"/>
          </w:tcPr>
          <w:p w14:paraId="135890FB">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1.物料货位卡、标识卡设置不全、内容标识不全，物、卡、账不一致，导致差错和混淆。</w:t>
            </w:r>
          </w:p>
          <w:p w14:paraId="314BDFA4">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2.物料出入库记录缺失、与领料单等资料不相符，出入库台账不健全或台账信息不完整。</w:t>
            </w:r>
          </w:p>
          <w:p w14:paraId="35A5FC4C">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3.过期物料未有效识别，使用过期物料投料生产。</w:t>
            </w:r>
          </w:p>
          <w:p w14:paraId="413043E3">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4.“近有效期先发”“先进先出”没有落实。</w:t>
            </w:r>
          </w:p>
          <w:p w14:paraId="50AE6131">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5.剩余物料未按规定退库，退库物料未密封，导致物料质量发生改变。</w:t>
            </w:r>
          </w:p>
        </w:tc>
        <w:tc>
          <w:tcPr>
            <w:tcW w:w="3587" w:type="dxa"/>
            <w:tcMar>
              <w:top w:w="17" w:type="dxa"/>
              <w:left w:w="57" w:type="dxa"/>
              <w:bottom w:w="17" w:type="dxa"/>
              <w:right w:w="57" w:type="dxa"/>
            </w:tcMar>
            <w:vAlign w:val="center"/>
          </w:tcPr>
          <w:p w14:paraId="096295E7">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1.物料台账、标识卡、货位卡应齐全完整，确保物、卡、账一致，并与实际相符。</w:t>
            </w:r>
          </w:p>
          <w:p w14:paraId="7502449A">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2.物料出入库记录应真实、完整，包括原辅料和包装材料名称、规格、生产日期或者生产批号、出入库数量和时间、库存量、责任人等内容，原辅料和包装材料出入库记录与其他资料相符，如批生产记录领料单。</w:t>
            </w:r>
          </w:p>
          <w:p w14:paraId="6FACE2FC">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3.物料按规定的保质期贮存，超过保质期的物料按照相关规定进行处置，易吸湿、易氧化等特殊物料因取样开封后可能会对质量造成影响的，可以评估后优先发放。</w:t>
            </w:r>
          </w:p>
          <w:p w14:paraId="3D3E94C7">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4.物料采用“近有效期先发”“先进先出”的原则出库。</w:t>
            </w:r>
          </w:p>
          <w:p w14:paraId="04876F3A">
            <w:pPr>
              <w:keepNext w:val="0"/>
              <w:keepLines w:val="0"/>
              <w:pageBreakBefore w:val="0"/>
              <w:widowControl w:val="0"/>
              <w:kinsoku/>
              <w:wordWrap/>
              <w:overflowPunct w:val="0"/>
              <w:topLinePunct w:val="0"/>
              <w:autoSpaceDE/>
              <w:autoSpaceDN/>
              <w:bidi w:val="0"/>
              <w:adjustRightInd w:val="0"/>
              <w:snapToGrid w:val="0"/>
              <w:spacing w:line="26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5.剩余物料按规定退库，退库物料进行密封，加贴退库标签。</w:t>
            </w:r>
          </w:p>
        </w:tc>
        <w:tc>
          <w:tcPr>
            <w:tcW w:w="1136" w:type="dxa"/>
            <w:tcMar>
              <w:top w:w="17" w:type="dxa"/>
              <w:left w:w="57" w:type="dxa"/>
              <w:bottom w:w="17" w:type="dxa"/>
              <w:right w:w="57" w:type="dxa"/>
            </w:tcMar>
            <w:vAlign w:val="center"/>
          </w:tcPr>
          <w:p w14:paraId="56C3821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74" w:type="dxa"/>
            <w:tcMar>
              <w:top w:w="17" w:type="dxa"/>
              <w:left w:w="57" w:type="dxa"/>
              <w:bottom w:w="17" w:type="dxa"/>
              <w:right w:w="57" w:type="dxa"/>
            </w:tcMar>
            <w:vAlign w:val="center"/>
          </w:tcPr>
          <w:p w14:paraId="3D135A6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14881和内控要求</w:t>
            </w:r>
          </w:p>
        </w:tc>
        <w:tc>
          <w:tcPr>
            <w:tcW w:w="717" w:type="dxa"/>
            <w:tcMar>
              <w:top w:w="17" w:type="dxa"/>
              <w:left w:w="57" w:type="dxa"/>
              <w:bottom w:w="17" w:type="dxa"/>
              <w:right w:w="57" w:type="dxa"/>
            </w:tcMar>
            <w:vAlign w:val="center"/>
          </w:tcPr>
          <w:p w14:paraId="3FE7E6D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3782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2343" w:hRule="atLeast"/>
          <w:jc w:val="center"/>
        </w:trPr>
        <w:tc>
          <w:tcPr>
            <w:tcW w:w="655" w:type="dxa"/>
            <w:tcMar>
              <w:top w:w="17" w:type="dxa"/>
              <w:left w:w="57" w:type="dxa"/>
              <w:bottom w:w="17" w:type="dxa"/>
              <w:right w:w="57" w:type="dxa"/>
            </w:tcMar>
            <w:vAlign w:val="center"/>
          </w:tcPr>
          <w:p w14:paraId="52713E8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4FE094B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550ECF2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0D5894D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生产指令单下达</w:t>
            </w:r>
          </w:p>
        </w:tc>
        <w:tc>
          <w:tcPr>
            <w:tcW w:w="960" w:type="dxa"/>
            <w:tcMar>
              <w:top w:w="17" w:type="dxa"/>
              <w:left w:w="57" w:type="dxa"/>
              <w:bottom w:w="17" w:type="dxa"/>
              <w:right w:w="57" w:type="dxa"/>
            </w:tcMar>
            <w:vAlign w:val="center"/>
          </w:tcPr>
          <w:p w14:paraId="417B7D4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错误下达生产指令单</w:t>
            </w:r>
          </w:p>
        </w:tc>
        <w:tc>
          <w:tcPr>
            <w:tcW w:w="2990" w:type="dxa"/>
            <w:tcMar>
              <w:top w:w="17" w:type="dxa"/>
              <w:left w:w="57" w:type="dxa"/>
              <w:bottom w:w="17" w:type="dxa"/>
              <w:right w:w="57" w:type="dxa"/>
            </w:tcMar>
            <w:vAlign w:val="center"/>
          </w:tcPr>
          <w:p w14:paraId="3FD75DE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批生产指令中的原辅料种类、用量与产品配方不一致，导致未按照注册或备案的产品配方组织生产的情况。</w:t>
            </w:r>
          </w:p>
        </w:tc>
        <w:tc>
          <w:tcPr>
            <w:tcW w:w="3587" w:type="dxa"/>
            <w:tcMar>
              <w:top w:w="17" w:type="dxa"/>
              <w:left w:w="57" w:type="dxa"/>
              <w:bottom w:w="17" w:type="dxa"/>
              <w:right w:w="57" w:type="dxa"/>
            </w:tcMar>
            <w:vAlign w:val="center"/>
          </w:tcPr>
          <w:p w14:paraId="50252B6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确定批生产指令中的原辅料及用量应与注册或备案的产品配方一致，称量、投料记录中的原辅料种类、数量与产品配方一致。</w:t>
            </w:r>
          </w:p>
        </w:tc>
        <w:tc>
          <w:tcPr>
            <w:tcW w:w="1136" w:type="dxa"/>
            <w:tcMar>
              <w:top w:w="17" w:type="dxa"/>
              <w:left w:w="57" w:type="dxa"/>
              <w:bottom w:w="17" w:type="dxa"/>
              <w:right w:w="57" w:type="dxa"/>
            </w:tcMar>
            <w:vAlign w:val="center"/>
          </w:tcPr>
          <w:p w14:paraId="51631D9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7D41628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17405、保健食品注册或备案的技术要求和内控要求</w:t>
            </w:r>
          </w:p>
        </w:tc>
        <w:tc>
          <w:tcPr>
            <w:tcW w:w="717" w:type="dxa"/>
            <w:tcMar>
              <w:top w:w="17" w:type="dxa"/>
              <w:left w:w="57" w:type="dxa"/>
              <w:bottom w:w="17" w:type="dxa"/>
              <w:right w:w="57" w:type="dxa"/>
            </w:tcMar>
            <w:vAlign w:val="center"/>
          </w:tcPr>
          <w:p w14:paraId="34DA5DC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30DCF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4946" w:hRule="atLeast"/>
          <w:jc w:val="center"/>
        </w:trPr>
        <w:tc>
          <w:tcPr>
            <w:tcW w:w="655" w:type="dxa"/>
            <w:tcMar>
              <w:top w:w="17" w:type="dxa"/>
              <w:left w:w="57" w:type="dxa"/>
              <w:bottom w:w="17" w:type="dxa"/>
              <w:right w:w="57" w:type="dxa"/>
            </w:tcMar>
            <w:vAlign w:val="center"/>
          </w:tcPr>
          <w:p w14:paraId="62A2EA8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1A87531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19A46EF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04C9589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备料过程</w:t>
            </w:r>
          </w:p>
        </w:tc>
        <w:tc>
          <w:tcPr>
            <w:tcW w:w="960" w:type="dxa"/>
            <w:tcMar>
              <w:top w:w="17" w:type="dxa"/>
              <w:left w:w="57" w:type="dxa"/>
              <w:bottom w:w="17" w:type="dxa"/>
              <w:right w:w="57" w:type="dxa"/>
            </w:tcMar>
            <w:vAlign w:val="center"/>
          </w:tcPr>
          <w:p w14:paraId="0D3E79F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仓库、备料区备料</w:t>
            </w:r>
          </w:p>
        </w:tc>
        <w:tc>
          <w:tcPr>
            <w:tcW w:w="2990" w:type="dxa"/>
            <w:tcMar>
              <w:top w:w="17" w:type="dxa"/>
              <w:left w:w="57" w:type="dxa"/>
              <w:bottom w:w="17" w:type="dxa"/>
              <w:right w:w="57" w:type="dxa"/>
            </w:tcMar>
            <w:vAlign w:val="center"/>
          </w:tcPr>
          <w:p w14:paraId="65C41FB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误选物料，导致物料错误使用。</w:t>
            </w:r>
          </w:p>
        </w:tc>
        <w:tc>
          <w:tcPr>
            <w:tcW w:w="3587" w:type="dxa"/>
            <w:tcMar>
              <w:top w:w="17" w:type="dxa"/>
              <w:left w:w="57" w:type="dxa"/>
              <w:bottom w:w="17" w:type="dxa"/>
              <w:right w:w="57" w:type="dxa"/>
            </w:tcMar>
            <w:vAlign w:val="center"/>
          </w:tcPr>
          <w:p w14:paraId="303C34E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使用扫码追溯系统或双人复核，依据生产指令单，进行验收，复核合格标识、包装完整性、原辅料及食品相关产品感官性状，确认符合质量要求，保证经系统或人工复核后，实际物料的品名、规格、数量等内容与生产指令相符，并符合相应质量要求。</w:t>
            </w:r>
          </w:p>
          <w:p w14:paraId="27F9F82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2.检查确认物料标签信息、生产指令单完整清晰，并且与配方的配料单信息一致。</w:t>
            </w:r>
          </w:p>
          <w:p w14:paraId="5223364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3.不得使用非食品原料、回收食品、食品添加剂以外的化学物质或者超过保质期的食品原料和食品添加剂生产食品。</w:t>
            </w:r>
          </w:p>
        </w:tc>
        <w:tc>
          <w:tcPr>
            <w:tcW w:w="1136" w:type="dxa"/>
            <w:tcMar>
              <w:top w:w="17" w:type="dxa"/>
              <w:left w:w="57" w:type="dxa"/>
              <w:bottom w:w="17" w:type="dxa"/>
              <w:right w:w="57" w:type="dxa"/>
            </w:tcMar>
            <w:vAlign w:val="center"/>
          </w:tcPr>
          <w:p w14:paraId="4F4E358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0162B11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符合《食品安全法》、《保健食品生产许可审查细则》、GB 17405和内控要求</w:t>
            </w:r>
          </w:p>
        </w:tc>
        <w:tc>
          <w:tcPr>
            <w:tcW w:w="717" w:type="dxa"/>
            <w:tcMar>
              <w:top w:w="17" w:type="dxa"/>
              <w:left w:w="57" w:type="dxa"/>
              <w:bottom w:w="17" w:type="dxa"/>
              <w:right w:w="57" w:type="dxa"/>
            </w:tcMar>
            <w:vAlign w:val="center"/>
          </w:tcPr>
          <w:p w14:paraId="5DB37B8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32A4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296" w:hRule="atLeast"/>
          <w:jc w:val="center"/>
        </w:trPr>
        <w:tc>
          <w:tcPr>
            <w:tcW w:w="655" w:type="dxa"/>
            <w:tcMar>
              <w:top w:w="17" w:type="dxa"/>
              <w:left w:w="57" w:type="dxa"/>
              <w:bottom w:w="17" w:type="dxa"/>
              <w:right w:w="57" w:type="dxa"/>
            </w:tcMar>
            <w:vAlign w:val="center"/>
          </w:tcPr>
          <w:p w14:paraId="43B502C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55B6C75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35F3D34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63C4951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投料过程</w:t>
            </w:r>
          </w:p>
        </w:tc>
        <w:tc>
          <w:tcPr>
            <w:tcW w:w="960" w:type="dxa"/>
            <w:tcMar>
              <w:top w:w="17" w:type="dxa"/>
              <w:left w:w="57" w:type="dxa"/>
              <w:bottom w:w="17" w:type="dxa"/>
              <w:right w:w="57" w:type="dxa"/>
            </w:tcMar>
            <w:vAlign w:val="center"/>
          </w:tcPr>
          <w:p w14:paraId="59D767C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物料称量</w:t>
            </w:r>
          </w:p>
        </w:tc>
        <w:tc>
          <w:tcPr>
            <w:tcW w:w="2990" w:type="dxa"/>
            <w:tcMar>
              <w:top w:w="17" w:type="dxa"/>
              <w:left w:w="57" w:type="dxa"/>
              <w:bottom w:w="17" w:type="dxa"/>
              <w:right w:w="57" w:type="dxa"/>
            </w:tcMar>
            <w:vAlign w:val="center"/>
          </w:tcPr>
          <w:p w14:paraId="2E8F995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物料称量不准确，不符合配方要求，导致产品质量异常。</w:t>
            </w:r>
          </w:p>
        </w:tc>
        <w:tc>
          <w:tcPr>
            <w:tcW w:w="3587" w:type="dxa"/>
            <w:tcMar>
              <w:top w:w="17" w:type="dxa"/>
              <w:left w:w="57" w:type="dxa"/>
              <w:bottom w:w="17" w:type="dxa"/>
              <w:right w:w="57" w:type="dxa"/>
            </w:tcMar>
            <w:vAlign w:val="center"/>
          </w:tcPr>
          <w:p w14:paraId="46E4BA5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1.根据物料用量选择合适量程的称量秤，并对称量秤进行定期检定或校准。</w:t>
            </w:r>
          </w:p>
          <w:p w14:paraId="7930D11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2.投料记录应完整并经第二人复核或人机复核，包括配料名称、批号、称量数量、投料时间、操作人及复核人签名等。</w:t>
            </w:r>
          </w:p>
        </w:tc>
        <w:tc>
          <w:tcPr>
            <w:tcW w:w="1136" w:type="dxa"/>
            <w:tcMar>
              <w:top w:w="17" w:type="dxa"/>
              <w:left w:w="57" w:type="dxa"/>
              <w:bottom w:w="17" w:type="dxa"/>
              <w:right w:w="57" w:type="dxa"/>
            </w:tcMar>
            <w:vAlign w:val="center"/>
          </w:tcPr>
          <w:p w14:paraId="2B81723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031E018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0B08F17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565F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60" w:hRule="atLeast"/>
          <w:jc w:val="center"/>
        </w:trPr>
        <w:tc>
          <w:tcPr>
            <w:tcW w:w="655" w:type="dxa"/>
            <w:tcMar>
              <w:top w:w="17" w:type="dxa"/>
              <w:left w:w="57" w:type="dxa"/>
              <w:bottom w:w="17" w:type="dxa"/>
              <w:right w:w="57" w:type="dxa"/>
            </w:tcMar>
            <w:vAlign w:val="center"/>
          </w:tcPr>
          <w:p w14:paraId="49B4037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7BBFE83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14F4B22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28CD06B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原料前处理</w:t>
            </w:r>
          </w:p>
        </w:tc>
        <w:tc>
          <w:tcPr>
            <w:tcW w:w="960" w:type="dxa"/>
            <w:tcMar>
              <w:top w:w="17" w:type="dxa"/>
              <w:left w:w="57" w:type="dxa"/>
              <w:bottom w:w="17" w:type="dxa"/>
              <w:right w:w="57" w:type="dxa"/>
            </w:tcMar>
            <w:vAlign w:val="center"/>
          </w:tcPr>
          <w:p w14:paraId="06E8910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前处理方法及工艺参数</w:t>
            </w:r>
          </w:p>
        </w:tc>
        <w:tc>
          <w:tcPr>
            <w:tcW w:w="2990" w:type="dxa"/>
            <w:tcMar>
              <w:top w:w="17" w:type="dxa"/>
              <w:left w:w="57" w:type="dxa"/>
              <w:bottom w:w="17" w:type="dxa"/>
              <w:right w:w="57" w:type="dxa"/>
            </w:tcMar>
            <w:vAlign w:val="center"/>
          </w:tcPr>
          <w:p w14:paraId="2962959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1.未按注册或备案的工艺进行生产操作。</w:t>
            </w:r>
          </w:p>
          <w:p w14:paraId="254D467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2.前处理工序与成品生产交叉污染。</w:t>
            </w:r>
          </w:p>
        </w:tc>
        <w:tc>
          <w:tcPr>
            <w:tcW w:w="3587" w:type="dxa"/>
            <w:tcMar>
              <w:top w:w="17" w:type="dxa"/>
              <w:left w:w="57" w:type="dxa"/>
              <w:bottom w:w="17" w:type="dxa"/>
              <w:right w:w="57" w:type="dxa"/>
            </w:tcMar>
            <w:vAlign w:val="center"/>
          </w:tcPr>
          <w:p w14:paraId="7121C4EA">
            <w:pPr>
              <w:keepNext w:val="0"/>
              <w:keepLines w:val="0"/>
              <w:pageBreakBefore w:val="0"/>
              <w:widowControl w:val="0"/>
              <w:tabs>
                <w:tab w:val="left" w:pos="312"/>
              </w:tabs>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1.按照注册或备案的前处理方法及工艺参数进行提取。</w:t>
            </w:r>
          </w:p>
          <w:p w14:paraId="2B0274A4">
            <w:pPr>
              <w:keepNext w:val="0"/>
              <w:keepLines w:val="0"/>
              <w:pageBreakBefore w:val="0"/>
              <w:widowControl w:val="0"/>
              <w:tabs>
                <w:tab w:val="left" w:pos="312"/>
              </w:tabs>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2.监</w:t>
            </w:r>
            <w:r>
              <w:rPr>
                <w:rFonts w:hint="eastAsia" w:ascii="Times New Roman" w:hAnsi="Times New Roman" w:eastAsia="仿宋_GB2312" w:cs="仿宋_GB2312"/>
                <w:snapToGrid w:val="0"/>
                <w:color w:val="000000" w:themeColor="text1"/>
                <w:spacing w:val="-11"/>
                <w:sz w:val="24"/>
                <w14:textFill>
                  <w14:solidFill>
                    <w14:schemeClr w14:val="tx1"/>
                  </w14:solidFill>
                </w14:textFill>
              </w:rPr>
              <w:t>控记录前处理方法及工艺参数。</w:t>
            </w:r>
          </w:p>
          <w:p w14:paraId="7C942E38">
            <w:pPr>
              <w:keepNext w:val="0"/>
              <w:keepLines w:val="0"/>
              <w:pageBreakBefore w:val="0"/>
              <w:widowControl w:val="0"/>
              <w:tabs>
                <w:tab w:val="left" w:pos="312"/>
              </w:tabs>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3.生产工艺中有原料粉碎、提取、纯化等前处理工序的，原料前处理工序应根据产品特性及生产工艺要求合理设计作业区，有合理的防护措施，避免对成品生产造成影响。</w:t>
            </w:r>
          </w:p>
        </w:tc>
        <w:tc>
          <w:tcPr>
            <w:tcW w:w="1136" w:type="dxa"/>
            <w:tcMar>
              <w:top w:w="17" w:type="dxa"/>
              <w:left w:w="57" w:type="dxa"/>
              <w:bottom w:w="17" w:type="dxa"/>
              <w:right w:w="57" w:type="dxa"/>
            </w:tcMar>
            <w:vAlign w:val="center"/>
          </w:tcPr>
          <w:p w14:paraId="28EEEBF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4F8B3DA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7D36595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5616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60" w:hRule="atLeast"/>
          <w:jc w:val="center"/>
        </w:trPr>
        <w:tc>
          <w:tcPr>
            <w:tcW w:w="655" w:type="dxa"/>
            <w:tcMar>
              <w:top w:w="17" w:type="dxa"/>
              <w:left w:w="57" w:type="dxa"/>
              <w:bottom w:w="17" w:type="dxa"/>
              <w:right w:w="57" w:type="dxa"/>
            </w:tcMar>
            <w:vAlign w:val="center"/>
          </w:tcPr>
          <w:p w14:paraId="7CE4882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73EF241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73A58E8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68FEA60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提取过程</w:t>
            </w:r>
          </w:p>
        </w:tc>
        <w:tc>
          <w:tcPr>
            <w:tcW w:w="960" w:type="dxa"/>
            <w:tcMar>
              <w:top w:w="17" w:type="dxa"/>
              <w:left w:w="57" w:type="dxa"/>
              <w:bottom w:w="17" w:type="dxa"/>
              <w:right w:w="57" w:type="dxa"/>
            </w:tcMar>
            <w:vAlign w:val="center"/>
          </w:tcPr>
          <w:p w14:paraId="3D943ED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提取方法及工艺参数</w:t>
            </w:r>
          </w:p>
        </w:tc>
        <w:tc>
          <w:tcPr>
            <w:tcW w:w="2990" w:type="dxa"/>
            <w:tcMar>
              <w:top w:w="17" w:type="dxa"/>
              <w:left w:w="57" w:type="dxa"/>
              <w:bottom w:w="17" w:type="dxa"/>
              <w:right w:w="57" w:type="dxa"/>
            </w:tcMar>
            <w:vAlign w:val="center"/>
          </w:tcPr>
          <w:p w14:paraId="5AB706E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未按注册或备案的工艺进行生产操作。</w:t>
            </w:r>
          </w:p>
        </w:tc>
        <w:tc>
          <w:tcPr>
            <w:tcW w:w="3587" w:type="dxa"/>
            <w:tcMar>
              <w:top w:w="17" w:type="dxa"/>
              <w:left w:w="57" w:type="dxa"/>
              <w:bottom w:w="17" w:type="dxa"/>
              <w:right w:w="57" w:type="dxa"/>
            </w:tcMar>
            <w:vAlign w:val="center"/>
          </w:tcPr>
          <w:p w14:paraId="7637C06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1.按照注册或备案的提取方法及工艺参数进行提取。</w:t>
            </w:r>
          </w:p>
          <w:p w14:paraId="3116502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2.监控记录提取方法及工艺参数。</w:t>
            </w:r>
          </w:p>
          <w:p w14:paraId="0EC8E2D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3.提取用溶剂需回收的，应当具备溶剂回收设施设备。回收后溶剂的再使用不得对产品造成交叉污染，不得对产品的质量和安全性有不利影响。</w:t>
            </w:r>
          </w:p>
        </w:tc>
        <w:tc>
          <w:tcPr>
            <w:tcW w:w="1136" w:type="dxa"/>
            <w:tcMar>
              <w:top w:w="17" w:type="dxa"/>
              <w:left w:w="57" w:type="dxa"/>
              <w:bottom w:w="17" w:type="dxa"/>
              <w:right w:w="57" w:type="dxa"/>
            </w:tcMar>
            <w:vAlign w:val="center"/>
          </w:tcPr>
          <w:p w14:paraId="4650D45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2FD6BEA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320B8F2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4BA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60" w:hRule="atLeast"/>
          <w:jc w:val="center"/>
        </w:trPr>
        <w:tc>
          <w:tcPr>
            <w:tcW w:w="655" w:type="dxa"/>
            <w:tcMar>
              <w:top w:w="17" w:type="dxa"/>
              <w:left w:w="57" w:type="dxa"/>
              <w:bottom w:w="17" w:type="dxa"/>
              <w:right w:w="57" w:type="dxa"/>
            </w:tcMar>
            <w:vAlign w:val="center"/>
          </w:tcPr>
          <w:p w14:paraId="56FE99C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4E70521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4AE30C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755D6CE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水解过程</w:t>
            </w:r>
          </w:p>
        </w:tc>
        <w:tc>
          <w:tcPr>
            <w:tcW w:w="960" w:type="dxa"/>
            <w:tcMar>
              <w:top w:w="17" w:type="dxa"/>
              <w:left w:w="57" w:type="dxa"/>
              <w:bottom w:w="17" w:type="dxa"/>
              <w:right w:w="57" w:type="dxa"/>
            </w:tcMar>
            <w:vAlign w:val="center"/>
          </w:tcPr>
          <w:p w14:paraId="2955D89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水解方法及工艺参数</w:t>
            </w:r>
          </w:p>
        </w:tc>
        <w:tc>
          <w:tcPr>
            <w:tcW w:w="2990" w:type="dxa"/>
            <w:tcMar>
              <w:top w:w="17" w:type="dxa"/>
              <w:left w:w="57" w:type="dxa"/>
              <w:bottom w:w="17" w:type="dxa"/>
              <w:right w:w="57" w:type="dxa"/>
            </w:tcMar>
            <w:vAlign w:val="center"/>
          </w:tcPr>
          <w:p w14:paraId="1A4847C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未按注册或备案的工艺进行生产操作。</w:t>
            </w:r>
          </w:p>
        </w:tc>
        <w:tc>
          <w:tcPr>
            <w:tcW w:w="3587" w:type="dxa"/>
            <w:tcMar>
              <w:top w:w="17" w:type="dxa"/>
              <w:left w:w="57" w:type="dxa"/>
              <w:bottom w:w="17" w:type="dxa"/>
              <w:right w:w="57" w:type="dxa"/>
            </w:tcMar>
            <w:vAlign w:val="center"/>
          </w:tcPr>
          <w:p w14:paraId="456ED42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1.按照注册或备案的水解方法及工艺参数进行水解。</w:t>
            </w:r>
          </w:p>
          <w:p w14:paraId="481ACA7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2.监控记录水解方法及工艺参数。</w:t>
            </w:r>
          </w:p>
        </w:tc>
        <w:tc>
          <w:tcPr>
            <w:tcW w:w="1136" w:type="dxa"/>
            <w:tcMar>
              <w:top w:w="17" w:type="dxa"/>
              <w:left w:w="57" w:type="dxa"/>
              <w:bottom w:w="17" w:type="dxa"/>
              <w:right w:w="57" w:type="dxa"/>
            </w:tcMar>
            <w:vAlign w:val="center"/>
          </w:tcPr>
          <w:p w14:paraId="5CCB2D6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000290B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snapToGrid w:val="0"/>
                <w:color w:val="000000" w:themeColor="text1"/>
                <w:spacing w:val="-6"/>
                <w:sz w:val="24"/>
                <w14:textFill>
                  <w14:solidFill>
                    <w14:schemeClr w14:val="tx1"/>
                  </w14:solidFill>
                </w14:textFill>
              </w:rPr>
            </w:pPr>
            <w:r>
              <w:rPr>
                <w:rFonts w:hint="eastAsia" w:ascii="Times New Roman" w:hAnsi="Times New Roman" w:eastAsia="仿宋_GB2312" w:cs="仿宋_GB2312"/>
                <w:snapToGrid w:val="0"/>
                <w:color w:val="000000" w:themeColor="text1"/>
                <w:spacing w:val="-6"/>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6FE5F4A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770D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60" w:hRule="atLeast"/>
          <w:jc w:val="center"/>
        </w:trPr>
        <w:tc>
          <w:tcPr>
            <w:tcW w:w="655" w:type="dxa"/>
            <w:tcMar>
              <w:top w:w="17" w:type="dxa"/>
              <w:left w:w="57" w:type="dxa"/>
              <w:bottom w:w="17" w:type="dxa"/>
              <w:right w:w="57" w:type="dxa"/>
            </w:tcMar>
            <w:vAlign w:val="center"/>
          </w:tcPr>
          <w:p w14:paraId="42F9CB2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33524D6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705C76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240E613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酶解过程</w:t>
            </w:r>
          </w:p>
        </w:tc>
        <w:tc>
          <w:tcPr>
            <w:tcW w:w="960" w:type="dxa"/>
            <w:tcMar>
              <w:top w:w="17" w:type="dxa"/>
              <w:left w:w="57" w:type="dxa"/>
              <w:bottom w:w="17" w:type="dxa"/>
              <w:right w:w="57" w:type="dxa"/>
            </w:tcMar>
            <w:vAlign w:val="center"/>
          </w:tcPr>
          <w:p w14:paraId="0E27587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酶解方法及工艺参数</w:t>
            </w:r>
          </w:p>
        </w:tc>
        <w:tc>
          <w:tcPr>
            <w:tcW w:w="2990" w:type="dxa"/>
            <w:tcMar>
              <w:top w:w="17" w:type="dxa"/>
              <w:left w:w="57" w:type="dxa"/>
              <w:bottom w:w="17" w:type="dxa"/>
              <w:right w:w="57" w:type="dxa"/>
            </w:tcMar>
            <w:vAlign w:val="center"/>
          </w:tcPr>
          <w:p w14:paraId="747B5DE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未按注册或备案的工艺进行生产操作。</w:t>
            </w:r>
          </w:p>
        </w:tc>
        <w:tc>
          <w:tcPr>
            <w:tcW w:w="3587" w:type="dxa"/>
            <w:tcMar>
              <w:top w:w="17" w:type="dxa"/>
              <w:left w:w="57" w:type="dxa"/>
              <w:bottom w:w="17" w:type="dxa"/>
              <w:right w:w="57" w:type="dxa"/>
            </w:tcMar>
            <w:vAlign w:val="center"/>
          </w:tcPr>
          <w:p w14:paraId="5EA50C8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1.按照注册或备案的酶解方法及工艺参数进行酶解。</w:t>
            </w:r>
          </w:p>
          <w:p w14:paraId="423A6D6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2.监控记录酶解方法及工艺参数。</w:t>
            </w:r>
          </w:p>
        </w:tc>
        <w:tc>
          <w:tcPr>
            <w:tcW w:w="1136" w:type="dxa"/>
            <w:tcMar>
              <w:top w:w="17" w:type="dxa"/>
              <w:left w:w="57" w:type="dxa"/>
              <w:bottom w:w="17" w:type="dxa"/>
              <w:right w:w="57" w:type="dxa"/>
            </w:tcMar>
            <w:vAlign w:val="center"/>
          </w:tcPr>
          <w:p w14:paraId="446B185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0BCE20A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snapToGrid w:val="0"/>
                <w:color w:val="000000" w:themeColor="text1"/>
                <w:spacing w:val="-6"/>
                <w:sz w:val="24"/>
                <w14:textFill>
                  <w14:solidFill>
                    <w14:schemeClr w14:val="tx1"/>
                  </w14:solidFill>
                </w14:textFill>
              </w:rPr>
            </w:pPr>
            <w:r>
              <w:rPr>
                <w:rFonts w:hint="eastAsia" w:ascii="Times New Roman" w:hAnsi="Times New Roman" w:eastAsia="仿宋_GB2312" w:cs="仿宋_GB2312"/>
                <w:snapToGrid w:val="0"/>
                <w:color w:val="000000" w:themeColor="text1"/>
                <w:spacing w:val="-6"/>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063DCEB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64B8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46" w:hRule="atLeast"/>
          <w:jc w:val="center"/>
        </w:trPr>
        <w:tc>
          <w:tcPr>
            <w:tcW w:w="655" w:type="dxa"/>
            <w:tcMar>
              <w:top w:w="17" w:type="dxa"/>
              <w:left w:w="57" w:type="dxa"/>
              <w:bottom w:w="17" w:type="dxa"/>
              <w:right w:w="57" w:type="dxa"/>
            </w:tcMar>
            <w:vAlign w:val="center"/>
          </w:tcPr>
          <w:p w14:paraId="1435D15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17BDDBC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394C2B7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4866660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发酵过程</w:t>
            </w:r>
          </w:p>
        </w:tc>
        <w:tc>
          <w:tcPr>
            <w:tcW w:w="960" w:type="dxa"/>
            <w:tcMar>
              <w:top w:w="17" w:type="dxa"/>
              <w:left w:w="57" w:type="dxa"/>
              <w:bottom w:w="17" w:type="dxa"/>
              <w:right w:w="57" w:type="dxa"/>
            </w:tcMar>
            <w:vAlign w:val="center"/>
          </w:tcPr>
          <w:p w14:paraId="50C0678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发酵方法及工艺参数</w:t>
            </w:r>
          </w:p>
        </w:tc>
        <w:tc>
          <w:tcPr>
            <w:tcW w:w="2990" w:type="dxa"/>
            <w:tcMar>
              <w:top w:w="17" w:type="dxa"/>
              <w:left w:w="57" w:type="dxa"/>
              <w:bottom w:w="17" w:type="dxa"/>
              <w:right w:w="57" w:type="dxa"/>
            </w:tcMar>
            <w:vAlign w:val="center"/>
          </w:tcPr>
          <w:p w14:paraId="2618253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1.未按注册或备案的工艺（包括菌种）进行生产操作。</w:t>
            </w:r>
          </w:p>
          <w:p w14:paraId="60F4FCE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2.发酵过程中受到污染。</w:t>
            </w:r>
          </w:p>
          <w:p w14:paraId="2358AA3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3.菌株退化或变异的风险。</w:t>
            </w:r>
          </w:p>
        </w:tc>
        <w:tc>
          <w:tcPr>
            <w:tcW w:w="3587" w:type="dxa"/>
            <w:tcMar>
              <w:top w:w="17" w:type="dxa"/>
              <w:left w:w="57" w:type="dxa"/>
              <w:bottom w:w="17" w:type="dxa"/>
              <w:right w:w="57" w:type="dxa"/>
            </w:tcMar>
            <w:vAlign w:val="center"/>
          </w:tcPr>
          <w:p w14:paraId="6ECD9C2E">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1.按照注册或备案的发酵方法及工艺参数进行发酵。</w:t>
            </w:r>
          </w:p>
          <w:p w14:paraId="7F6A495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2.监控记录发酵方法及工艺参数。</w:t>
            </w:r>
          </w:p>
          <w:p w14:paraId="0AF2700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3.建立生产环境和加工过程的微生物监控程序，应定期对设备、设施、工器具、容器、管道及其附件进行清洁和（或）消毒，防止杂菌污染及有害物质的产生。</w:t>
            </w:r>
          </w:p>
          <w:p w14:paraId="7F6126D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 xml:space="preserve">4.以真菌类、益生菌类为原料的，应严格控制菌株保存条件，菌种应定期筛选、纯化，进行鉴定，保持遗传稳定性、安全性，防止杂菌污染、菌种退化和变异产毒。 </w:t>
            </w:r>
          </w:p>
        </w:tc>
        <w:tc>
          <w:tcPr>
            <w:tcW w:w="1136" w:type="dxa"/>
            <w:tcMar>
              <w:top w:w="17" w:type="dxa"/>
              <w:left w:w="57" w:type="dxa"/>
              <w:bottom w:w="17" w:type="dxa"/>
              <w:right w:w="57" w:type="dxa"/>
            </w:tcMar>
            <w:vAlign w:val="center"/>
          </w:tcPr>
          <w:p w14:paraId="1098913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72DB382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6AE0347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0431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60" w:hRule="atLeast"/>
          <w:jc w:val="center"/>
        </w:trPr>
        <w:tc>
          <w:tcPr>
            <w:tcW w:w="655"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1D0A489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1F63841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2E10B23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5F82C42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精制（分离、纯化）过程</w:t>
            </w:r>
          </w:p>
        </w:tc>
        <w:tc>
          <w:tcPr>
            <w:tcW w:w="96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3DACE8B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精制（分离、纯化）方法及工艺参数</w:t>
            </w:r>
          </w:p>
        </w:tc>
        <w:tc>
          <w:tcPr>
            <w:tcW w:w="2990"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6070D61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未按注册或备案的工艺进行生产操作。</w:t>
            </w:r>
          </w:p>
        </w:tc>
        <w:tc>
          <w:tcPr>
            <w:tcW w:w="3587"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753DD13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 按照注册或备案的精制（分离、纯化）方法及工艺参数进行精制（分离、纯化）。</w:t>
            </w:r>
          </w:p>
          <w:p w14:paraId="4270775C">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2.监控记录精制（分离、纯化）方法及工艺参数。</w:t>
            </w:r>
          </w:p>
        </w:tc>
        <w:tc>
          <w:tcPr>
            <w:tcW w:w="1136"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5F9449F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3CD94EB7">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17405和内控要求</w:t>
            </w:r>
          </w:p>
        </w:tc>
        <w:tc>
          <w:tcPr>
            <w:tcW w:w="717" w:type="dxa"/>
            <w:tcBorders>
              <w:top w:val="single" w:color="auto" w:sz="4" w:space="0"/>
              <w:left w:val="single" w:color="auto" w:sz="4" w:space="0"/>
              <w:bottom w:val="single" w:color="auto" w:sz="4" w:space="0"/>
              <w:right w:val="single" w:color="auto" w:sz="4" w:space="0"/>
            </w:tcBorders>
            <w:tcMar>
              <w:top w:w="17" w:type="dxa"/>
              <w:left w:w="57" w:type="dxa"/>
              <w:bottom w:w="17" w:type="dxa"/>
              <w:right w:w="57" w:type="dxa"/>
            </w:tcMar>
            <w:vAlign w:val="center"/>
          </w:tcPr>
          <w:p w14:paraId="2E59952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597F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09" w:hRule="atLeast"/>
          <w:jc w:val="center"/>
        </w:trPr>
        <w:tc>
          <w:tcPr>
            <w:tcW w:w="655" w:type="dxa"/>
            <w:tcMar>
              <w:top w:w="17" w:type="dxa"/>
              <w:left w:w="57" w:type="dxa"/>
              <w:bottom w:w="17" w:type="dxa"/>
              <w:right w:w="57" w:type="dxa"/>
            </w:tcMar>
            <w:vAlign w:val="center"/>
          </w:tcPr>
          <w:p w14:paraId="294CDB4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6907989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27FD315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1BB8D01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干燥过程</w:t>
            </w:r>
          </w:p>
        </w:tc>
        <w:tc>
          <w:tcPr>
            <w:tcW w:w="960" w:type="dxa"/>
            <w:tcMar>
              <w:top w:w="17" w:type="dxa"/>
              <w:left w:w="57" w:type="dxa"/>
              <w:bottom w:w="17" w:type="dxa"/>
              <w:right w:w="57" w:type="dxa"/>
            </w:tcMar>
            <w:vAlign w:val="center"/>
          </w:tcPr>
          <w:p w14:paraId="2EA2266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干燥方法及工艺参数</w:t>
            </w:r>
          </w:p>
        </w:tc>
        <w:tc>
          <w:tcPr>
            <w:tcW w:w="2990" w:type="dxa"/>
            <w:tcMar>
              <w:top w:w="17" w:type="dxa"/>
              <w:left w:w="57" w:type="dxa"/>
              <w:bottom w:w="17" w:type="dxa"/>
              <w:right w:w="57" w:type="dxa"/>
            </w:tcMar>
            <w:vAlign w:val="center"/>
          </w:tcPr>
          <w:p w14:paraId="6975E87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1.未按注册或备案的工艺进行生产操作。</w:t>
            </w:r>
          </w:p>
          <w:p w14:paraId="7EF7A40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2.干燥方法选择不当，温度、时间不适宜导致产品水分超标或产品成分破坏。</w:t>
            </w:r>
          </w:p>
        </w:tc>
        <w:tc>
          <w:tcPr>
            <w:tcW w:w="3587" w:type="dxa"/>
            <w:tcMar>
              <w:top w:w="17" w:type="dxa"/>
              <w:left w:w="57" w:type="dxa"/>
              <w:bottom w:w="17" w:type="dxa"/>
              <w:right w:w="57" w:type="dxa"/>
            </w:tcMar>
            <w:vAlign w:val="center"/>
          </w:tcPr>
          <w:p w14:paraId="5A74CE07">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1.提取后干燥按照注册或备案的方法进行。</w:t>
            </w:r>
          </w:p>
          <w:p w14:paraId="082DE40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2.建立干燥过程工艺规程，温度、时间监控装置定期进行检定/校准，定期验证工艺稳定性。</w:t>
            </w:r>
          </w:p>
          <w:p w14:paraId="02690A5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3.干燥后物料水分含量进行抽样检测。</w:t>
            </w:r>
          </w:p>
        </w:tc>
        <w:tc>
          <w:tcPr>
            <w:tcW w:w="1136" w:type="dxa"/>
            <w:tcMar>
              <w:top w:w="17" w:type="dxa"/>
              <w:left w:w="57" w:type="dxa"/>
              <w:bottom w:w="17" w:type="dxa"/>
              <w:right w:w="57" w:type="dxa"/>
            </w:tcMar>
            <w:vAlign w:val="center"/>
          </w:tcPr>
          <w:p w14:paraId="29847CF8">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5B3F53A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022BC4B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2B558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60" w:hRule="atLeast"/>
          <w:jc w:val="center"/>
        </w:trPr>
        <w:tc>
          <w:tcPr>
            <w:tcW w:w="655" w:type="dxa"/>
            <w:tcMar>
              <w:top w:w="17" w:type="dxa"/>
              <w:left w:w="57" w:type="dxa"/>
              <w:bottom w:w="17" w:type="dxa"/>
              <w:right w:w="57" w:type="dxa"/>
            </w:tcMar>
            <w:vAlign w:val="center"/>
          </w:tcPr>
          <w:p w14:paraId="37AA52F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1E42429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48292C5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55C279B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混合、调配过程</w:t>
            </w:r>
          </w:p>
        </w:tc>
        <w:tc>
          <w:tcPr>
            <w:tcW w:w="960" w:type="dxa"/>
            <w:tcMar>
              <w:top w:w="17" w:type="dxa"/>
              <w:left w:w="57" w:type="dxa"/>
              <w:bottom w:w="17" w:type="dxa"/>
              <w:right w:w="57" w:type="dxa"/>
            </w:tcMar>
            <w:vAlign w:val="center"/>
          </w:tcPr>
          <w:p w14:paraId="41C6609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混合、调配方法及工艺参数</w:t>
            </w:r>
          </w:p>
        </w:tc>
        <w:tc>
          <w:tcPr>
            <w:tcW w:w="2990" w:type="dxa"/>
            <w:tcMar>
              <w:top w:w="17" w:type="dxa"/>
              <w:left w:w="57" w:type="dxa"/>
              <w:bottom w:w="17" w:type="dxa"/>
              <w:right w:w="57" w:type="dxa"/>
            </w:tcMar>
            <w:vAlign w:val="center"/>
          </w:tcPr>
          <w:p w14:paraId="46772BD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1.混合、调配不均匀。</w:t>
            </w:r>
          </w:p>
          <w:p w14:paraId="133DAF5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2.因人员、环境等因素带入污染。</w:t>
            </w:r>
          </w:p>
          <w:p w14:paraId="3831699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3.混合、调配车间空间洁净度不达标，导致环境微生物交叉污染。</w:t>
            </w:r>
          </w:p>
        </w:tc>
        <w:tc>
          <w:tcPr>
            <w:tcW w:w="3587" w:type="dxa"/>
            <w:tcMar>
              <w:top w:w="17" w:type="dxa"/>
              <w:left w:w="57" w:type="dxa"/>
              <w:bottom w:w="17" w:type="dxa"/>
              <w:right w:w="57" w:type="dxa"/>
            </w:tcMar>
            <w:vAlign w:val="center"/>
          </w:tcPr>
          <w:p w14:paraId="3B46D553">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1.合理设置物料混合、调配方法和工艺参数，确保混合、调配均匀。</w:t>
            </w:r>
          </w:p>
          <w:p w14:paraId="6B50751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2.混合、调配工序应在清洁作业区内进行。</w:t>
            </w:r>
          </w:p>
          <w:p w14:paraId="6B40240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3.混合、调配后的半成品不能裸露在清洁作业区内，应采用密闭暂存设备储存，作好标识，备用。</w:t>
            </w:r>
          </w:p>
        </w:tc>
        <w:tc>
          <w:tcPr>
            <w:tcW w:w="1136" w:type="dxa"/>
            <w:tcMar>
              <w:top w:w="17" w:type="dxa"/>
              <w:left w:w="57" w:type="dxa"/>
              <w:bottom w:w="17" w:type="dxa"/>
              <w:right w:w="57" w:type="dxa"/>
            </w:tcMar>
            <w:vAlign w:val="center"/>
          </w:tcPr>
          <w:p w14:paraId="70D57074">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6A627095">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636B2FE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754DC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60" w:hRule="atLeast"/>
          <w:jc w:val="center"/>
        </w:trPr>
        <w:tc>
          <w:tcPr>
            <w:tcW w:w="655" w:type="dxa"/>
            <w:tcMar>
              <w:top w:w="17" w:type="dxa"/>
              <w:left w:w="57" w:type="dxa"/>
              <w:bottom w:w="17" w:type="dxa"/>
              <w:right w:w="57" w:type="dxa"/>
            </w:tcMar>
            <w:vAlign w:val="center"/>
          </w:tcPr>
          <w:p w14:paraId="2E71DCA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5FBE994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7CC08A9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7E1749F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成型过程</w:t>
            </w:r>
          </w:p>
        </w:tc>
        <w:tc>
          <w:tcPr>
            <w:tcW w:w="960" w:type="dxa"/>
            <w:tcMar>
              <w:top w:w="17" w:type="dxa"/>
              <w:left w:w="57" w:type="dxa"/>
              <w:bottom w:w="17" w:type="dxa"/>
              <w:right w:w="57" w:type="dxa"/>
            </w:tcMar>
            <w:vAlign w:val="center"/>
          </w:tcPr>
          <w:p w14:paraId="1944384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成型方法及工艺参数</w:t>
            </w:r>
          </w:p>
        </w:tc>
        <w:tc>
          <w:tcPr>
            <w:tcW w:w="2990" w:type="dxa"/>
            <w:tcMar>
              <w:top w:w="17" w:type="dxa"/>
              <w:left w:w="57" w:type="dxa"/>
              <w:bottom w:w="17" w:type="dxa"/>
              <w:right w:w="57" w:type="dxa"/>
            </w:tcMar>
            <w:vAlign w:val="center"/>
          </w:tcPr>
          <w:p w14:paraId="44B490C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1.未按注册或备案的工艺进行生产操作。</w:t>
            </w:r>
          </w:p>
          <w:p w14:paraId="5471044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2.成型车间空间洁净度不达标，导致环境微生物交叉污染。</w:t>
            </w:r>
          </w:p>
        </w:tc>
        <w:tc>
          <w:tcPr>
            <w:tcW w:w="3587" w:type="dxa"/>
            <w:tcMar>
              <w:top w:w="17" w:type="dxa"/>
              <w:left w:w="57" w:type="dxa"/>
              <w:bottom w:w="17" w:type="dxa"/>
              <w:right w:w="57" w:type="dxa"/>
            </w:tcMar>
            <w:vAlign w:val="center"/>
          </w:tcPr>
          <w:p w14:paraId="551CA694">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1.按照注册或备案的成型工序生产。</w:t>
            </w:r>
          </w:p>
          <w:p w14:paraId="07A70477">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2.监控记录保健食品剂型的成型工艺。</w:t>
            </w:r>
          </w:p>
          <w:p w14:paraId="3369BA0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3.成型工序应在清洁作业区内进行。</w:t>
            </w:r>
          </w:p>
        </w:tc>
        <w:tc>
          <w:tcPr>
            <w:tcW w:w="1136" w:type="dxa"/>
            <w:tcMar>
              <w:top w:w="17" w:type="dxa"/>
              <w:left w:w="57" w:type="dxa"/>
              <w:bottom w:w="17" w:type="dxa"/>
              <w:right w:w="57" w:type="dxa"/>
            </w:tcMar>
            <w:vAlign w:val="center"/>
          </w:tcPr>
          <w:p w14:paraId="20775593">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6410A328">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6A19FF0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34F5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5093" w:hRule="atLeast"/>
          <w:jc w:val="center"/>
        </w:trPr>
        <w:tc>
          <w:tcPr>
            <w:tcW w:w="655" w:type="dxa"/>
            <w:tcMar>
              <w:top w:w="17" w:type="dxa"/>
              <w:left w:w="57" w:type="dxa"/>
              <w:bottom w:w="17" w:type="dxa"/>
              <w:right w:w="57" w:type="dxa"/>
            </w:tcMar>
            <w:vAlign w:val="center"/>
          </w:tcPr>
          <w:p w14:paraId="5F1B52C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691F0EA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36D7EF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49BE1F8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内包装过程</w:t>
            </w:r>
          </w:p>
        </w:tc>
        <w:tc>
          <w:tcPr>
            <w:tcW w:w="960" w:type="dxa"/>
            <w:tcMar>
              <w:top w:w="17" w:type="dxa"/>
              <w:left w:w="57" w:type="dxa"/>
              <w:bottom w:w="17" w:type="dxa"/>
              <w:right w:w="57" w:type="dxa"/>
            </w:tcMar>
            <w:vAlign w:val="center"/>
          </w:tcPr>
          <w:p w14:paraId="2041202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 xml:space="preserve">内包装方法及工艺参数 </w:t>
            </w:r>
          </w:p>
        </w:tc>
        <w:tc>
          <w:tcPr>
            <w:tcW w:w="2990" w:type="dxa"/>
            <w:tcMar>
              <w:top w:w="17" w:type="dxa"/>
              <w:left w:w="57" w:type="dxa"/>
              <w:bottom w:w="17" w:type="dxa"/>
              <w:right w:w="57" w:type="dxa"/>
            </w:tcMar>
            <w:vAlign w:val="center"/>
          </w:tcPr>
          <w:p w14:paraId="547ADCD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1.内包间空气洁净度不达标，导致环境微生物交叉污染。</w:t>
            </w:r>
          </w:p>
          <w:p w14:paraId="7AC00A4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2.使用了不符合要求的包装材料。</w:t>
            </w:r>
          </w:p>
          <w:p w14:paraId="2D1D754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3.内包装材料具有潜在生物污染、物理污染、化学污染等危害（包括重金属及污染物、与食品直接接触材料的迁移物）。</w:t>
            </w:r>
          </w:p>
        </w:tc>
        <w:tc>
          <w:tcPr>
            <w:tcW w:w="3587" w:type="dxa"/>
            <w:tcMar>
              <w:top w:w="17" w:type="dxa"/>
              <w:left w:w="57" w:type="dxa"/>
              <w:bottom w:w="17" w:type="dxa"/>
              <w:right w:w="57" w:type="dxa"/>
            </w:tcMar>
            <w:vAlign w:val="center"/>
          </w:tcPr>
          <w:p w14:paraId="6774D53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1.确保包装材料符合注册或备案要求。</w:t>
            </w:r>
          </w:p>
          <w:p w14:paraId="08B8ECB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2.内包装材料应经过物流通道进入生产车间，进入清洁作业区的内包装材料应当除去外包装，按照有关规定进行清洁消毒。无法除去外包装的，应有有效措施对物料外包装进行清洁消毒。</w:t>
            </w:r>
          </w:p>
          <w:p w14:paraId="44C420C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后续无灭菌措施的，产品内包装前直接接触空气的暴露工序与产品内包装工序应在同一清洁作业区内完成。特殊情况下未在同一清洁作业区内完成的，应采取有效措施防护，经生产验证符合保健食品生产工艺及产品相关技术要求，确保产品质量安全。</w:t>
            </w:r>
          </w:p>
        </w:tc>
        <w:tc>
          <w:tcPr>
            <w:tcW w:w="1136" w:type="dxa"/>
            <w:tcMar>
              <w:top w:w="17" w:type="dxa"/>
              <w:left w:w="57" w:type="dxa"/>
              <w:bottom w:w="17" w:type="dxa"/>
              <w:right w:w="57" w:type="dxa"/>
            </w:tcMar>
            <w:vAlign w:val="center"/>
          </w:tcPr>
          <w:p w14:paraId="25110E1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202929F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3CAF132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F94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60" w:hRule="atLeast"/>
          <w:jc w:val="center"/>
        </w:trPr>
        <w:tc>
          <w:tcPr>
            <w:tcW w:w="655" w:type="dxa"/>
            <w:tcMar>
              <w:top w:w="17" w:type="dxa"/>
              <w:left w:w="57" w:type="dxa"/>
              <w:bottom w:w="17" w:type="dxa"/>
              <w:right w:w="57" w:type="dxa"/>
            </w:tcMar>
            <w:vAlign w:val="center"/>
          </w:tcPr>
          <w:p w14:paraId="1EB75B5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268D9F6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7EDB1A6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21E3150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灭菌过程</w:t>
            </w:r>
          </w:p>
        </w:tc>
        <w:tc>
          <w:tcPr>
            <w:tcW w:w="960" w:type="dxa"/>
            <w:tcMar>
              <w:top w:w="17" w:type="dxa"/>
              <w:left w:w="57" w:type="dxa"/>
              <w:bottom w:w="17" w:type="dxa"/>
              <w:right w:w="57" w:type="dxa"/>
            </w:tcMar>
            <w:vAlign w:val="center"/>
          </w:tcPr>
          <w:p w14:paraId="3AB15DF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灭菌方法及工艺参数</w:t>
            </w:r>
          </w:p>
        </w:tc>
        <w:tc>
          <w:tcPr>
            <w:tcW w:w="2990" w:type="dxa"/>
            <w:tcMar>
              <w:top w:w="17" w:type="dxa"/>
              <w:left w:w="57" w:type="dxa"/>
              <w:bottom w:w="17" w:type="dxa"/>
              <w:right w:w="57" w:type="dxa"/>
            </w:tcMar>
            <w:vAlign w:val="center"/>
          </w:tcPr>
          <w:p w14:paraId="2D39593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未按注册或备案的工艺进行生产操作。</w:t>
            </w:r>
          </w:p>
        </w:tc>
        <w:tc>
          <w:tcPr>
            <w:tcW w:w="3587" w:type="dxa"/>
            <w:tcMar>
              <w:top w:w="17" w:type="dxa"/>
              <w:left w:w="57" w:type="dxa"/>
              <w:bottom w:w="17" w:type="dxa"/>
              <w:right w:w="57" w:type="dxa"/>
            </w:tcMar>
            <w:vAlign w:val="center"/>
          </w:tcPr>
          <w:p w14:paraId="1B1105E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1.按照注册或备案的灭菌方法及工艺参数进行灭菌。</w:t>
            </w:r>
          </w:p>
          <w:p w14:paraId="3978391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2.监控记录灭菌方法与参数。</w:t>
            </w:r>
          </w:p>
          <w:p w14:paraId="5D13B7D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3.定期验证灭菌效果。</w:t>
            </w:r>
          </w:p>
        </w:tc>
        <w:tc>
          <w:tcPr>
            <w:tcW w:w="1136" w:type="dxa"/>
            <w:tcMar>
              <w:top w:w="17" w:type="dxa"/>
              <w:left w:w="57" w:type="dxa"/>
              <w:bottom w:w="17" w:type="dxa"/>
              <w:right w:w="57" w:type="dxa"/>
            </w:tcMar>
            <w:vAlign w:val="center"/>
          </w:tcPr>
          <w:p w14:paraId="19B7F9D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1-2：每批</w:t>
            </w:r>
          </w:p>
          <w:p w14:paraId="4415C17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3：定期</w:t>
            </w:r>
          </w:p>
        </w:tc>
        <w:tc>
          <w:tcPr>
            <w:tcW w:w="1674" w:type="dxa"/>
            <w:tcMar>
              <w:top w:w="17" w:type="dxa"/>
              <w:left w:w="57" w:type="dxa"/>
              <w:bottom w:w="17" w:type="dxa"/>
              <w:right w:w="57" w:type="dxa"/>
            </w:tcMar>
            <w:vAlign w:val="center"/>
          </w:tcPr>
          <w:p w14:paraId="7392C7D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17405和内控要求</w:t>
            </w:r>
          </w:p>
        </w:tc>
        <w:tc>
          <w:tcPr>
            <w:tcW w:w="717" w:type="dxa"/>
            <w:tcMar>
              <w:top w:w="17" w:type="dxa"/>
              <w:left w:w="57" w:type="dxa"/>
              <w:bottom w:w="17" w:type="dxa"/>
              <w:right w:w="57" w:type="dxa"/>
            </w:tcMar>
            <w:vAlign w:val="center"/>
          </w:tcPr>
          <w:p w14:paraId="516D3A8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2FB4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20" w:hRule="atLeast"/>
          <w:jc w:val="center"/>
        </w:trPr>
        <w:tc>
          <w:tcPr>
            <w:tcW w:w="655" w:type="dxa"/>
            <w:tcMar>
              <w:top w:w="17" w:type="dxa"/>
              <w:left w:w="57" w:type="dxa"/>
              <w:bottom w:w="17" w:type="dxa"/>
              <w:right w:w="57" w:type="dxa"/>
            </w:tcMar>
            <w:vAlign w:val="center"/>
          </w:tcPr>
          <w:p w14:paraId="477990D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6867916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7317A23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6659B34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生产过程</w:t>
            </w:r>
          </w:p>
        </w:tc>
        <w:tc>
          <w:tcPr>
            <w:tcW w:w="960" w:type="dxa"/>
            <w:tcMar>
              <w:top w:w="17" w:type="dxa"/>
              <w:left w:w="57" w:type="dxa"/>
              <w:bottom w:w="17" w:type="dxa"/>
              <w:right w:w="57" w:type="dxa"/>
            </w:tcMar>
            <w:vAlign w:val="center"/>
          </w:tcPr>
          <w:p w14:paraId="6E9D37D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批生产记录</w:t>
            </w:r>
          </w:p>
        </w:tc>
        <w:tc>
          <w:tcPr>
            <w:tcW w:w="2990" w:type="dxa"/>
            <w:tcMar>
              <w:top w:w="17" w:type="dxa"/>
              <w:left w:w="57" w:type="dxa"/>
              <w:bottom w:w="17" w:type="dxa"/>
              <w:right w:w="57" w:type="dxa"/>
            </w:tcMar>
            <w:vAlign w:val="center"/>
          </w:tcPr>
          <w:p w14:paraId="7307325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批生产记录不完整、不规范，无法确保整个生产过程可追溯：</w:t>
            </w:r>
          </w:p>
          <w:p w14:paraId="7EB014A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1.生产指令不健全，例如：批生产指令中无明胶空心胶囊、内包材用量。</w:t>
            </w:r>
          </w:p>
          <w:p w14:paraId="4577B51C">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各工序生产记录不健全，例如：生产前检查记录不全、各岗位清场清洁记录填写不完整、无可追溯的设备信息，无称量、内包装等工序生产操作记录，无半成品、成品检验报告、最小销售包装的标签说明书的归档。</w:t>
            </w:r>
          </w:p>
          <w:p w14:paraId="73E85235">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生产工艺参数记录不全，生产操作过程追溯性不强，例如：固体制剂批生产记录中未记录等量递增混合操作过程，软胶囊剂批生产记录中未记录干燥工序温度和相对湿度，液体制剂（酒剂除外）批生产记录中未准确记录灭菌起止时间。</w:t>
            </w:r>
          </w:p>
          <w:p w14:paraId="0D48DADA">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4.批生产记录未及时填写。</w:t>
            </w:r>
          </w:p>
          <w:p w14:paraId="0A07765C">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5.操作人员未签名。</w:t>
            </w:r>
          </w:p>
          <w:p w14:paraId="7E7355D7">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6.批生产记录存在不规范涂改现象。</w:t>
            </w:r>
          </w:p>
          <w:p w14:paraId="49E28F5A">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7.批生产记录中的原辅料名称、批号、数量等信息与索证索票、进货查验记录不一致，无法追溯相应批次原料和生产过程。</w:t>
            </w:r>
          </w:p>
        </w:tc>
        <w:tc>
          <w:tcPr>
            <w:tcW w:w="3587" w:type="dxa"/>
            <w:tcMar>
              <w:top w:w="17" w:type="dxa"/>
              <w:left w:w="57" w:type="dxa"/>
              <w:bottom w:w="17" w:type="dxa"/>
              <w:right w:w="57" w:type="dxa"/>
            </w:tcMar>
            <w:vAlign w:val="center"/>
          </w:tcPr>
          <w:p w14:paraId="2A599E7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1.建立批生产记录制度，批生产记录至少应当包括：生产指令、各工序生产记录、工艺参数、中间产品和产品检验报告、清场记录、物料平衡记录、生产偏差处理以及最小销售包装的标签说明书等内容。</w:t>
            </w:r>
          </w:p>
          <w:p w14:paraId="005D24C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2.各工序生产记录、生产工艺参数记录应完整。</w:t>
            </w:r>
          </w:p>
          <w:p w14:paraId="7267402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3.记录应真实，不得随意涂改。</w:t>
            </w:r>
          </w:p>
          <w:p w14:paraId="494D741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4.各工序操作人员在生产记录上签字确认。</w:t>
            </w:r>
          </w:p>
          <w:p w14:paraId="55B6183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5.采用电子计算机信息管理系统进行记录的，数据真实并有效备份，不得擅自篡改。</w:t>
            </w:r>
          </w:p>
          <w:p w14:paraId="55B5AD8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6.批生产记录中的原辅料名称、批号、数量等信息应与索证索票、进货查验记录一致。</w:t>
            </w:r>
          </w:p>
        </w:tc>
        <w:tc>
          <w:tcPr>
            <w:tcW w:w="1136" w:type="dxa"/>
            <w:tcMar>
              <w:top w:w="17" w:type="dxa"/>
              <w:left w:w="57" w:type="dxa"/>
              <w:bottom w:w="17" w:type="dxa"/>
              <w:right w:w="57" w:type="dxa"/>
            </w:tcMar>
            <w:vAlign w:val="center"/>
          </w:tcPr>
          <w:p w14:paraId="2F5775B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14523ED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14881、保健食品注册或备案的技术要求和内控要求</w:t>
            </w:r>
          </w:p>
        </w:tc>
        <w:tc>
          <w:tcPr>
            <w:tcW w:w="717" w:type="dxa"/>
            <w:tcMar>
              <w:top w:w="17" w:type="dxa"/>
              <w:left w:w="57" w:type="dxa"/>
              <w:bottom w:w="17" w:type="dxa"/>
              <w:right w:w="57" w:type="dxa"/>
            </w:tcMar>
            <w:vAlign w:val="center"/>
          </w:tcPr>
          <w:p w14:paraId="3DD5AB3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1CAA6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1485" w:hRule="atLeast"/>
          <w:jc w:val="center"/>
        </w:trPr>
        <w:tc>
          <w:tcPr>
            <w:tcW w:w="655" w:type="dxa"/>
            <w:tcMar>
              <w:top w:w="17" w:type="dxa"/>
              <w:left w:w="57" w:type="dxa"/>
              <w:bottom w:w="17" w:type="dxa"/>
              <w:right w:w="57" w:type="dxa"/>
            </w:tcMar>
            <w:vAlign w:val="center"/>
          </w:tcPr>
          <w:p w14:paraId="5A7D159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6CB84D7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3296A9B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4D71621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生产过程</w:t>
            </w:r>
          </w:p>
        </w:tc>
        <w:tc>
          <w:tcPr>
            <w:tcW w:w="960" w:type="dxa"/>
            <w:tcMar>
              <w:top w:w="17" w:type="dxa"/>
              <w:left w:w="57" w:type="dxa"/>
              <w:bottom w:w="17" w:type="dxa"/>
              <w:right w:w="57" w:type="dxa"/>
            </w:tcMar>
            <w:vAlign w:val="center"/>
          </w:tcPr>
          <w:p w14:paraId="69C8516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中间产品</w:t>
            </w:r>
          </w:p>
        </w:tc>
        <w:tc>
          <w:tcPr>
            <w:tcW w:w="2990" w:type="dxa"/>
            <w:tcMar>
              <w:top w:w="17" w:type="dxa"/>
              <w:left w:w="57" w:type="dxa"/>
              <w:bottom w:w="17" w:type="dxa"/>
              <w:right w:w="57" w:type="dxa"/>
            </w:tcMar>
            <w:vAlign w:val="center"/>
          </w:tcPr>
          <w:p w14:paraId="4103A91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中间产品进出洁净区，未进行生产验证，未进行密闭储存，导致不符合保健食品生产洁净级别要求。</w:t>
            </w:r>
          </w:p>
        </w:tc>
        <w:tc>
          <w:tcPr>
            <w:tcW w:w="3587" w:type="dxa"/>
            <w:tcMar>
              <w:top w:w="17" w:type="dxa"/>
              <w:left w:w="57" w:type="dxa"/>
              <w:bottom w:w="17" w:type="dxa"/>
              <w:right w:w="57" w:type="dxa"/>
            </w:tcMar>
            <w:vAlign w:val="center"/>
          </w:tcPr>
          <w:p w14:paraId="368396C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1.中间产品如需进出洁净区，应按照经验证的方案进出洁净区。</w:t>
            </w:r>
          </w:p>
          <w:p w14:paraId="6598A56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2.进出洁净区的中间产品应密封储存，避免污染。</w:t>
            </w:r>
          </w:p>
        </w:tc>
        <w:tc>
          <w:tcPr>
            <w:tcW w:w="1136" w:type="dxa"/>
            <w:tcMar>
              <w:top w:w="17" w:type="dxa"/>
              <w:left w:w="57" w:type="dxa"/>
              <w:bottom w:w="17" w:type="dxa"/>
              <w:right w:w="57" w:type="dxa"/>
            </w:tcMar>
            <w:vAlign w:val="center"/>
          </w:tcPr>
          <w:p w14:paraId="3BD1160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1E4F625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符合《保健食品生产许可审查细则》和内控要求</w:t>
            </w:r>
          </w:p>
        </w:tc>
        <w:tc>
          <w:tcPr>
            <w:tcW w:w="717" w:type="dxa"/>
            <w:tcMar>
              <w:top w:w="17" w:type="dxa"/>
              <w:left w:w="57" w:type="dxa"/>
              <w:bottom w:w="17" w:type="dxa"/>
              <w:right w:w="57" w:type="dxa"/>
            </w:tcMar>
            <w:vAlign w:val="center"/>
          </w:tcPr>
          <w:p w14:paraId="0CC87E6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1173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23" w:hRule="atLeast"/>
          <w:jc w:val="center"/>
        </w:trPr>
        <w:tc>
          <w:tcPr>
            <w:tcW w:w="655" w:type="dxa"/>
            <w:tcMar>
              <w:top w:w="17" w:type="dxa"/>
              <w:left w:w="57" w:type="dxa"/>
              <w:bottom w:w="17" w:type="dxa"/>
              <w:right w:w="57" w:type="dxa"/>
            </w:tcMar>
            <w:vAlign w:val="center"/>
          </w:tcPr>
          <w:p w14:paraId="5C4783D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02FF921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3B1AEC6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0F87DF5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生产过程</w:t>
            </w:r>
          </w:p>
        </w:tc>
        <w:tc>
          <w:tcPr>
            <w:tcW w:w="960" w:type="dxa"/>
            <w:tcMar>
              <w:top w:w="17" w:type="dxa"/>
              <w:left w:w="57" w:type="dxa"/>
              <w:bottom w:w="17" w:type="dxa"/>
              <w:right w:w="57" w:type="dxa"/>
            </w:tcMar>
            <w:vAlign w:val="center"/>
          </w:tcPr>
          <w:p w14:paraId="7FA593D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物料平衡</w:t>
            </w:r>
          </w:p>
        </w:tc>
        <w:tc>
          <w:tcPr>
            <w:tcW w:w="2990" w:type="dxa"/>
            <w:tcMar>
              <w:top w:w="17" w:type="dxa"/>
              <w:left w:w="57" w:type="dxa"/>
              <w:bottom w:w="17" w:type="dxa"/>
              <w:right w:w="57" w:type="dxa"/>
            </w:tcMar>
            <w:vAlign w:val="center"/>
          </w:tcPr>
          <w:p w14:paraId="2E9E291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生产过程未进行物料平衡计算，导致出现偏差未及时处理。</w:t>
            </w:r>
          </w:p>
        </w:tc>
        <w:tc>
          <w:tcPr>
            <w:tcW w:w="3587" w:type="dxa"/>
            <w:tcMar>
              <w:top w:w="17" w:type="dxa"/>
              <w:left w:w="57" w:type="dxa"/>
              <w:bottom w:w="17" w:type="dxa"/>
              <w:right w:w="57" w:type="dxa"/>
            </w:tcMar>
            <w:vAlign w:val="center"/>
          </w:tcPr>
          <w:p w14:paraId="05FD978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1.每批产品进行物料平衡检查，物料平衡应符合规定限度。</w:t>
            </w:r>
          </w:p>
          <w:p w14:paraId="467D580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2.如有物料平衡超出规定限度的情况，应查明原因，确认无潜在质量风险后，按照正常产品处理。</w:t>
            </w:r>
          </w:p>
        </w:tc>
        <w:tc>
          <w:tcPr>
            <w:tcW w:w="1136" w:type="dxa"/>
            <w:tcMar>
              <w:top w:w="17" w:type="dxa"/>
              <w:left w:w="57" w:type="dxa"/>
              <w:bottom w:w="17" w:type="dxa"/>
              <w:right w:w="57" w:type="dxa"/>
            </w:tcMar>
            <w:vAlign w:val="center"/>
          </w:tcPr>
          <w:p w14:paraId="523597B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每批</w:t>
            </w:r>
          </w:p>
        </w:tc>
        <w:tc>
          <w:tcPr>
            <w:tcW w:w="1674" w:type="dxa"/>
            <w:tcMar>
              <w:top w:w="17" w:type="dxa"/>
              <w:left w:w="57" w:type="dxa"/>
              <w:bottom w:w="17" w:type="dxa"/>
              <w:right w:w="57" w:type="dxa"/>
            </w:tcMar>
            <w:vAlign w:val="center"/>
          </w:tcPr>
          <w:p w14:paraId="62C14CB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符合《保健食品生产许可审查细则》和内控要求</w:t>
            </w:r>
          </w:p>
        </w:tc>
        <w:tc>
          <w:tcPr>
            <w:tcW w:w="717" w:type="dxa"/>
            <w:tcMar>
              <w:top w:w="17" w:type="dxa"/>
              <w:left w:w="57" w:type="dxa"/>
              <w:bottom w:w="17" w:type="dxa"/>
              <w:right w:w="57" w:type="dxa"/>
            </w:tcMar>
            <w:vAlign w:val="center"/>
          </w:tcPr>
          <w:p w14:paraId="5A92760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5A7E2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66BCBD5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100461A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5B8FE05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09B647E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车间卫生</w:t>
            </w:r>
          </w:p>
        </w:tc>
        <w:tc>
          <w:tcPr>
            <w:tcW w:w="960" w:type="dxa"/>
            <w:tcMar>
              <w:top w:w="17" w:type="dxa"/>
              <w:left w:w="57" w:type="dxa"/>
              <w:bottom w:w="17" w:type="dxa"/>
              <w:right w:w="57" w:type="dxa"/>
            </w:tcMar>
            <w:vAlign w:val="center"/>
          </w:tcPr>
          <w:p w14:paraId="02F94E9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人员卫生</w:t>
            </w:r>
          </w:p>
        </w:tc>
        <w:tc>
          <w:tcPr>
            <w:tcW w:w="2990" w:type="dxa"/>
            <w:tcMar>
              <w:top w:w="17" w:type="dxa"/>
              <w:left w:w="57" w:type="dxa"/>
              <w:bottom w:w="17" w:type="dxa"/>
              <w:right w:w="57" w:type="dxa"/>
            </w:tcMar>
            <w:vAlign w:val="center"/>
          </w:tcPr>
          <w:p w14:paraId="0FF4BA0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1.工作人员未按要求穿戴工作衣帽或未经洗手消毒进入经空气净化的车间及作业区，导致污染风险。</w:t>
            </w:r>
          </w:p>
          <w:p w14:paraId="02D0E17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2.生产车间内发现与生产无关的个人用品或者其他与生产不相关物品。</w:t>
            </w:r>
          </w:p>
        </w:tc>
        <w:tc>
          <w:tcPr>
            <w:tcW w:w="3587" w:type="dxa"/>
            <w:tcMar>
              <w:top w:w="17" w:type="dxa"/>
              <w:left w:w="57" w:type="dxa"/>
              <w:bottom w:w="17" w:type="dxa"/>
              <w:right w:w="57" w:type="dxa"/>
            </w:tcMar>
            <w:vAlign w:val="center"/>
          </w:tcPr>
          <w:p w14:paraId="68149AE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1.进入经空气净化的车间及作业区的员工应按照要求完成穿戴洁净工作服、洗手、消毒等流程。进入一般区应规范穿着工作服，并按要求洗手、消毒。</w:t>
            </w:r>
          </w:p>
          <w:p w14:paraId="2D7D74E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2.进入作业区域不应佩戴饰物、手表，不应化妆、染指甲、喷洒香水，不得携带或存放与食品生产无关的个人用品。</w:t>
            </w:r>
          </w:p>
          <w:p w14:paraId="0383FB7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3.生产车间内不能有与生产无关的个人用品或其他与生产不相关物品。</w:t>
            </w:r>
          </w:p>
        </w:tc>
        <w:tc>
          <w:tcPr>
            <w:tcW w:w="1136" w:type="dxa"/>
            <w:tcMar>
              <w:top w:w="17" w:type="dxa"/>
              <w:left w:w="57" w:type="dxa"/>
              <w:bottom w:w="17" w:type="dxa"/>
              <w:right w:w="57" w:type="dxa"/>
            </w:tcMar>
            <w:vAlign w:val="center"/>
          </w:tcPr>
          <w:p w14:paraId="4D61957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74" w:type="dxa"/>
            <w:tcMar>
              <w:top w:w="17" w:type="dxa"/>
              <w:left w:w="57" w:type="dxa"/>
              <w:bottom w:w="17" w:type="dxa"/>
              <w:right w:w="57" w:type="dxa"/>
            </w:tcMar>
            <w:vAlign w:val="center"/>
          </w:tcPr>
          <w:p w14:paraId="06DBBF2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14881和内控要求</w:t>
            </w:r>
          </w:p>
        </w:tc>
        <w:tc>
          <w:tcPr>
            <w:tcW w:w="717" w:type="dxa"/>
            <w:tcMar>
              <w:top w:w="17" w:type="dxa"/>
              <w:left w:w="57" w:type="dxa"/>
              <w:bottom w:w="17" w:type="dxa"/>
              <w:right w:w="57" w:type="dxa"/>
            </w:tcMar>
            <w:vAlign w:val="center"/>
          </w:tcPr>
          <w:p w14:paraId="69C51E9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0B391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18" w:hRule="atLeast"/>
          <w:jc w:val="center"/>
        </w:trPr>
        <w:tc>
          <w:tcPr>
            <w:tcW w:w="655" w:type="dxa"/>
            <w:tcMar>
              <w:top w:w="17" w:type="dxa"/>
              <w:left w:w="57" w:type="dxa"/>
              <w:bottom w:w="17" w:type="dxa"/>
              <w:right w:w="57" w:type="dxa"/>
            </w:tcMar>
            <w:vAlign w:val="center"/>
          </w:tcPr>
          <w:p w14:paraId="38F2EA5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1BD9B08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2FE3B1C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433B87D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车间卫生</w:t>
            </w:r>
          </w:p>
        </w:tc>
        <w:tc>
          <w:tcPr>
            <w:tcW w:w="960" w:type="dxa"/>
            <w:tcMar>
              <w:top w:w="17" w:type="dxa"/>
              <w:left w:w="57" w:type="dxa"/>
              <w:bottom w:w="17" w:type="dxa"/>
              <w:right w:w="57" w:type="dxa"/>
            </w:tcMar>
            <w:vAlign w:val="center"/>
          </w:tcPr>
          <w:p w14:paraId="5538B77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物料脱包、清洁、储存</w:t>
            </w:r>
          </w:p>
        </w:tc>
        <w:tc>
          <w:tcPr>
            <w:tcW w:w="2990" w:type="dxa"/>
            <w:tcMar>
              <w:top w:w="17" w:type="dxa"/>
              <w:left w:w="57" w:type="dxa"/>
              <w:bottom w:w="17" w:type="dxa"/>
              <w:right w:w="57" w:type="dxa"/>
            </w:tcMar>
            <w:vAlign w:val="center"/>
          </w:tcPr>
          <w:p w14:paraId="1B320B7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1.原辅料、内包材未脱包、清洁直接进入生产车间，导致污染风险。</w:t>
            </w:r>
          </w:p>
          <w:p w14:paraId="4E61EDB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2.脱包原辅料、内包材以及半成品未做产品信息标识或标识的信息不全，导致差错和混淆风险。</w:t>
            </w:r>
          </w:p>
          <w:p w14:paraId="74982E9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3.脱包原辅料、内包材以及半成品储存期限和条件不符合要求，导致质量异常。</w:t>
            </w:r>
          </w:p>
        </w:tc>
        <w:tc>
          <w:tcPr>
            <w:tcW w:w="3587" w:type="dxa"/>
            <w:tcMar>
              <w:top w:w="17" w:type="dxa"/>
              <w:left w:w="57" w:type="dxa"/>
              <w:bottom w:w="17" w:type="dxa"/>
              <w:right w:w="57" w:type="dxa"/>
            </w:tcMar>
            <w:vAlign w:val="center"/>
          </w:tcPr>
          <w:p w14:paraId="3A46B99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1.原料、内包材进入车间前经过脱包或采用其他清洁外包处理后进入生产车间。</w:t>
            </w:r>
          </w:p>
          <w:p w14:paraId="4FFB141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2.脱包原辅料、内包材以及半成品标识内容应齐全完整，包括名称、批号、数量和储存期限，应按照储存期限和条件进行储存，并在规定的时间内完成生产。</w:t>
            </w:r>
          </w:p>
          <w:p w14:paraId="652AE70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3.查看脱包原辅料、内包材以及半成品，是否有专门区域分别存放，是否存在交叉污染。</w:t>
            </w:r>
          </w:p>
        </w:tc>
        <w:tc>
          <w:tcPr>
            <w:tcW w:w="1136" w:type="dxa"/>
            <w:tcMar>
              <w:top w:w="17" w:type="dxa"/>
              <w:left w:w="57" w:type="dxa"/>
              <w:bottom w:w="17" w:type="dxa"/>
              <w:right w:w="57" w:type="dxa"/>
            </w:tcMar>
            <w:vAlign w:val="center"/>
          </w:tcPr>
          <w:p w14:paraId="0522EBF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74" w:type="dxa"/>
            <w:tcMar>
              <w:top w:w="17" w:type="dxa"/>
              <w:left w:w="57" w:type="dxa"/>
              <w:bottom w:w="17" w:type="dxa"/>
              <w:right w:w="57" w:type="dxa"/>
            </w:tcMar>
            <w:vAlign w:val="center"/>
          </w:tcPr>
          <w:p w14:paraId="5B7E2E1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符合《保健食品生产许可审查细则》和内控要求</w:t>
            </w:r>
          </w:p>
        </w:tc>
        <w:tc>
          <w:tcPr>
            <w:tcW w:w="717" w:type="dxa"/>
            <w:tcMar>
              <w:top w:w="17" w:type="dxa"/>
              <w:left w:w="57" w:type="dxa"/>
              <w:bottom w:w="17" w:type="dxa"/>
              <w:right w:w="57" w:type="dxa"/>
            </w:tcMar>
            <w:vAlign w:val="center"/>
          </w:tcPr>
          <w:p w14:paraId="5500351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4E0C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48DD81F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5E00820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3C15349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1E02650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车间卫生</w:t>
            </w:r>
          </w:p>
        </w:tc>
        <w:tc>
          <w:tcPr>
            <w:tcW w:w="960" w:type="dxa"/>
            <w:tcMar>
              <w:top w:w="17" w:type="dxa"/>
              <w:left w:w="57" w:type="dxa"/>
              <w:bottom w:w="17" w:type="dxa"/>
              <w:right w:w="57" w:type="dxa"/>
            </w:tcMar>
            <w:vAlign w:val="center"/>
          </w:tcPr>
          <w:p w14:paraId="2CCEE35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车间清场</w:t>
            </w:r>
          </w:p>
        </w:tc>
        <w:tc>
          <w:tcPr>
            <w:tcW w:w="2990" w:type="dxa"/>
            <w:tcMar>
              <w:top w:w="17" w:type="dxa"/>
              <w:left w:w="57" w:type="dxa"/>
              <w:bottom w:w="17" w:type="dxa"/>
              <w:right w:w="57" w:type="dxa"/>
            </w:tcMar>
            <w:vAlign w:val="center"/>
          </w:tcPr>
          <w:p w14:paraId="0A710AD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清场不彻底，清洁状态标识卡缺失、内容不完整、状态标识不正确，对产品造成污染。</w:t>
            </w:r>
          </w:p>
        </w:tc>
        <w:tc>
          <w:tcPr>
            <w:tcW w:w="3587" w:type="dxa"/>
            <w:tcMar>
              <w:top w:w="17" w:type="dxa"/>
              <w:left w:w="57" w:type="dxa"/>
              <w:bottom w:w="17" w:type="dxa"/>
              <w:right w:w="57" w:type="dxa"/>
            </w:tcMar>
            <w:vAlign w:val="center"/>
          </w:tcPr>
          <w:p w14:paraId="53D3E98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1.建立并严格执行清场管理制度，每批产品生产结束按规定程序进行清场，生产用工具、容器、设备进行清洗清洁。</w:t>
            </w:r>
          </w:p>
          <w:p w14:paraId="5331D5A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2.生产操作间、生产设备和容器应有清洁状态标识。</w:t>
            </w:r>
          </w:p>
          <w:p w14:paraId="4B335AA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3.清场操作规程应进行有效性验证。</w:t>
            </w:r>
          </w:p>
        </w:tc>
        <w:tc>
          <w:tcPr>
            <w:tcW w:w="1136" w:type="dxa"/>
            <w:tcMar>
              <w:top w:w="17" w:type="dxa"/>
              <w:left w:w="57" w:type="dxa"/>
              <w:bottom w:w="17" w:type="dxa"/>
              <w:right w:w="57" w:type="dxa"/>
            </w:tcMar>
            <w:vAlign w:val="center"/>
          </w:tcPr>
          <w:p w14:paraId="2487A31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1-2：每批</w:t>
            </w:r>
          </w:p>
          <w:p w14:paraId="1BC6391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3：定期</w:t>
            </w:r>
          </w:p>
        </w:tc>
        <w:tc>
          <w:tcPr>
            <w:tcW w:w="1674" w:type="dxa"/>
            <w:tcMar>
              <w:top w:w="17" w:type="dxa"/>
              <w:left w:w="57" w:type="dxa"/>
              <w:bottom w:w="17" w:type="dxa"/>
              <w:right w:w="57" w:type="dxa"/>
            </w:tcMar>
            <w:vAlign w:val="center"/>
          </w:tcPr>
          <w:p w14:paraId="29C1E91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14881和内控要求</w:t>
            </w:r>
          </w:p>
        </w:tc>
        <w:tc>
          <w:tcPr>
            <w:tcW w:w="717" w:type="dxa"/>
            <w:tcMar>
              <w:top w:w="17" w:type="dxa"/>
              <w:left w:w="57" w:type="dxa"/>
              <w:bottom w:w="17" w:type="dxa"/>
              <w:right w:w="57" w:type="dxa"/>
            </w:tcMar>
            <w:vAlign w:val="center"/>
          </w:tcPr>
          <w:p w14:paraId="74F0BF1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24FE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89" w:hRule="atLeast"/>
          <w:jc w:val="center"/>
        </w:trPr>
        <w:tc>
          <w:tcPr>
            <w:tcW w:w="655" w:type="dxa"/>
            <w:tcMar>
              <w:top w:w="17" w:type="dxa"/>
              <w:left w:w="57" w:type="dxa"/>
              <w:bottom w:w="17" w:type="dxa"/>
              <w:right w:w="57" w:type="dxa"/>
            </w:tcMar>
            <w:vAlign w:val="center"/>
          </w:tcPr>
          <w:p w14:paraId="4601036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78FF75F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4ABF4EB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65CDE91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原料提取物</w:t>
            </w:r>
          </w:p>
        </w:tc>
        <w:tc>
          <w:tcPr>
            <w:tcW w:w="960" w:type="dxa"/>
            <w:tcMar>
              <w:top w:w="17" w:type="dxa"/>
              <w:left w:w="57" w:type="dxa"/>
              <w:bottom w:w="17" w:type="dxa"/>
              <w:right w:w="57" w:type="dxa"/>
            </w:tcMar>
            <w:vAlign w:val="center"/>
          </w:tcPr>
          <w:p w14:paraId="3FB7797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原料提取物质量异常</w:t>
            </w:r>
          </w:p>
        </w:tc>
        <w:tc>
          <w:tcPr>
            <w:tcW w:w="2990" w:type="dxa"/>
            <w:tcMar>
              <w:top w:w="17" w:type="dxa"/>
              <w:left w:w="57" w:type="dxa"/>
              <w:bottom w:w="17" w:type="dxa"/>
              <w:right w:w="57" w:type="dxa"/>
            </w:tcMar>
            <w:vAlign w:val="center"/>
          </w:tcPr>
          <w:p w14:paraId="234F00B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生产原料提取物的企业：</w:t>
            </w:r>
          </w:p>
          <w:p w14:paraId="0586C23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1.未制定生产工艺规程，工艺规程或关键工艺参数与注册或备案的技术要求不一致。</w:t>
            </w:r>
          </w:p>
          <w:p w14:paraId="1D5D9C8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原料提取生产记录不健全，例如：未记录浓缩温度、浓缩液相对密度等生产工艺参数。缺少提取工序提取温度、提取时间、浓缩工序温度、干燥工序干燥温度、干燥时间等关键控制点控制情况记录。未进行提取率检查。</w:t>
            </w:r>
          </w:p>
          <w:p w14:paraId="7D7645B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3.原料提取物留样不满足全检量要求，未开展原料提取物稳定性考察。</w:t>
            </w:r>
          </w:p>
        </w:tc>
        <w:tc>
          <w:tcPr>
            <w:tcW w:w="3587" w:type="dxa"/>
            <w:tcMar>
              <w:top w:w="17" w:type="dxa"/>
              <w:left w:w="57" w:type="dxa"/>
              <w:bottom w:w="17" w:type="dxa"/>
              <w:right w:w="57" w:type="dxa"/>
            </w:tcMar>
            <w:vAlign w:val="center"/>
          </w:tcPr>
          <w:p w14:paraId="057A199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按照原料提取生产记录制度生产，包括原料的称量、清洗、提取、浓缩、收膏、干燥、粉碎等生产过程和相应工艺参数。每批次提取物标注同一生产日期。提取用溶剂回收使用不对产品造成交叉污染。每批（次）对提取率进行检查，如有显著差异，应查明原因，在确认无质量安全隐患后，方可按正常产品处理。</w:t>
            </w:r>
          </w:p>
          <w:p w14:paraId="0E55047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2.按照提取物质量标准或技术要求进行全项目检验，并按照全检量的要求进行提取物留样。</w:t>
            </w:r>
          </w:p>
          <w:p w14:paraId="57C8F55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3.提取物的干燥、粉碎、过筛、混合、内包装等工序，与保健食品生产的洁净级别相适应。</w:t>
            </w:r>
          </w:p>
          <w:p w14:paraId="1E6C90D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4.原料的清洗、浸润、提取用水等符合生产工艺要求。</w:t>
            </w:r>
          </w:p>
          <w:p w14:paraId="1AF770F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5.对提取物进行稳定性考察，确定原料提取物保质期，保质期一般不超过两年。</w:t>
            </w:r>
          </w:p>
          <w:p w14:paraId="002330A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6.建立并留存废渣处理的记录，禁止回流市场或再次提取。</w:t>
            </w:r>
          </w:p>
        </w:tc>
        <w:tc>
          <w:tcPr>
            <w:tcW w:w="1136" w:type="dxa"/>
            <w:tcMar>
              <w:top w:w="17" w:type="dxa"/>
              <w:left w:w="57" w:type="dxa"/>
              <w:bottom w:w="17" w:type="dxa"/>
              <w:right w:w="57" w:type="dxa"/>
            </w:tcMar>
            <w:vAlign w:val="center"/>
          </w:tcPr>
          <w:p w14:paraId="0501618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1-4：每批</w:t>
            </w:r>
          </w:p>
          <w:p w14:paraId="1FAAAF5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5：按需</w:t>
            </w:r>
          </w:p>
          <w:p w14:paraId="3350B56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6：每批</w:t>
            </w:r>
          </w:p>
        </w:tc>
        <w:tc>
          <w:tcPr>
            <w:tcW w:w="1674" w:type="dxa"/>
            <w:tcMar>
              <w:top w:w="17" w:type="dxa"/>
              <w:left w:w="57" w:type="dxa"/>
              <w:bottom w:w="17" w:type="dxa"/>
              <w:right w:w="57" w:type="dxa"/>
            </w:tcMar>
            <w:vAlign w:val="center"/>
          </w:tcPr>
          <w:p w14:paraId="7422125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符合《保健食品生产许可审查细则》和内控要求</w:t>
            </w:r>
          </w:p>
        </w:tc>
        <w:tc>
          <w:tcPr>
            <w:tcW w:w="717" w:type="dxa"/>
            <w:tcMar>
              <w:top w:w="17" w:type="dxa"/>
              <w:left w:w="57" w:type="dxa"/>
              <w:bottom w:w="17" w:type="dxa"/>
              <w:right w:w="57" w:type="dxa"/>
            </w:tcMar>
            <w:vAlign w:val="center"/>
          </w:tcPr>
          <w:p w14:paraId="496F090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33D17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42" w:hRule="atLeast"/>
          <w:jc w:val="center"/>
        </w:trPr>
        <w:tc>
          <w:tcPr>
            <w:tcW w:w="655" w:type="dxa"/>
            <w:tcMar>
              <w:top w:w="17" w:type="dxa"/>
              <w:left w:w="57" w:type="dxa"/>
              <w:bottom w:w="17" w:type="dxa"/>
              <w:right w:w="57" w:type="dxa"/>
            </w:tcMar>
            <w:vAlign w:val="center"/>
          </w:tcPr>
          <w:p w14:paraId="00660E8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16245E4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341F6DE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364406D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复配营养素</w:t>
            </w:r>
          </w:p>
        </w:tc>
        <w:tc>
          <w:tcPr>
            <w:tcW w:w="960" w:type="dxa"/>
            <w:tcMar>
              <w:top w:w="17" w:type="dxa"/>
              <w:left w:w="57" w:type="dxa"/>
              <w:bottom w:w="17" w:type="dxa"/>
              <w:right w:w="57" w:type="dxa"/>
            </w:tcMar>
            <w:vAlign w:val="center"/>
          </w:tcPr>
          <w:p w14:paraId="6D8037D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复配营养素质量异常</w:t>
            </w:r>
          </w:p>
        </w:tc>
        <w:tc>
          <w:tcPr>
            <w:tcW w:w="2990" w:type="dxa"/>
            <w:tcMar>
              <w:top w:w="17" w:type="dxa"/>
              <w:left w:w="57" w:type="dxa"/>
              <w:bottom w:w="17" w:type="dxa"/>
              <w:right w:w="57" w:type="dxa"/>
            </w:tcMar>
            <w:vAlign w:val="center"/>
          </w:tcPr>
          <w:p w14:paraId="4FE345A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生产复配营养素的企业：</w:t>
            </w:r>
          </w:p>
          <w:p w14:paraId="56F1859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1.未制定生产工艺规程，工艺规程或关键工艺参数与注册或备案的技术要求不一致。</w:t>
            </w:r>
          </w:p>
          <w:p w14:paraId="43A5C71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2.生产记录不健全。</w:t>
            </w:r>
          </w:p>
          <w:p w14:paraId="1B2EA08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3.复配营养素留样不满足全检量要求，未开展复配营养素稳定性考察。</w:t>
            </w:r>
          </w:p>
        </w:tc>
        <w:tc>
          <w:tcPr>
            <w:tcW w:w="3587" w:type="dxa"/>
            <w:tcMar>
              <w:top w:w="17" w:type="dxa"/>
              <w:left w:w="57" w:type="dxa"/>
              <w:bottom w:w="17" w:type="dxa"/>
              <w:right w:w="57" w:type="dxa"/>
            </w:tcMar>
            <w:vAlign w:val="center"/>
          </w:tcPr>
          <w:p w14:paraId="2FD97AA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按照生产工艺和质量标准的要求，制定复配营养素的产品技术标准、工艺操作规程以及各项质量管理制度。按照保健食品产品配方要求，采用物理方法将两种或两种以上单一维生素、矿物质营养素补充剂，通过添加或不添加辅料，经均匀混合制成复配营养素。复配营养素在生产过程中不应发生化学反应，不应产生新的化合物。</w:t>
            </w:r>
          </w:p>
          <w:p w14:paraId="6C944B09">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具备称量、投料、混合等生产设施设备，进行实时检测和生产过程记录，保证产品的均匀混合和在线追溯。复配营养素的生产过程在密闭设备内完成，并采用有效的防尘捕尘设备，生产环境洁净级别与保健食品生产的洁净级别相适应。</w:t>
            </w:r>
          </w:p>
          <w:p w14:paraId="7583AC95">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具有复配营养素的检验设备和检验能力，每批产品均按照相关要求开展感官、有害物质、致病性微生物以及维生素、矿物质、微量元素含量的检验。复配营养素的感官、有害物质、致病性微生物等项目，可参照GB 26687的要求进行检验。</w:t>
            </w:r>
          </w:p>
          <w:p w14:paraId="3424459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4.按照全检量的要求做好产品留样。</w:t>
            </w:r>
          </w:p>
          <w:p w14:paraId="2227AA73">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5.对复配营养素进行稳定性考察，确定产品有效期，有效期一般不超过两年。</w:t>
            </w:r>
          </w:p>
        </w:tc>
        <w:tc>
          <w:tcPr>
            <w:tcW w:w="1136" w:type="dxa"/>
            <w:tcMar>
              <w:top w:w="17" w:type="dxa"/>
              <w:left w:w="57" w:type="dxa"/>
              <w:bottom w:w="17" w:type="dxa"/>
              <w:right w:w="57" w:type="dxa"/>
            </w:tcMar>
            <w:vAlign w:val="center"/>
          </w:tcPr>
          <w:p w14:paraId="674C963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1：新增产品或发生变更时</w:t>
            </w:r>
          </w:p>
          <w:p w14:paraId="0DB5259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2-4：每批</w:t>
            </w:r>
          </w:p>
          <w:p w14:paraId="56A91E0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5：按需</w:t>
            </w:r>
          </w:p>
        </w:tc>
        <w:tc>
          <w:tcPr>
            <w:tcW w:w="1674" w:type="dxa"/>
            <w:tcMar>
              <w:top w:w="17" w:type="dxa"/>
              <w:left w:w="57" w:type="dxa"/>
              <w:bottom w:w="17" w:type="dxa"/>
              <w:right w:w="57" w:type="dxa"/>
            </w:tcMar>
            <w:vAlign w:val="center"/>
          </w:tcPr>
          <w:p w14:paraId="68DEFD3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26687和内控要求</w:t>
            </w:r>
          </w:p>
        </w:tc>
        <w:tc>
          <w:tcPr>
            <w:tcW w:w="717" w:type="dxa"/>
            <w:tcMar>
              <w:top w:w="17" w:type="dxa"/>
              <w:left w:w="57" w:type="dxa"/>
              <w:bottom w:w="17" w:type="dxa"/>
              <w:right w:w="57" w:type="dxa"/>
            </w:tcMar>
            <w:vAlign w:val="center"/>
          </w:tcPr>
          <w:p w14:paraId="56CB940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58E6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65" w:hRule="atLeast"/>
          <w:jc w:val="center"/>
        </w:trPr>
        <w:tc>
          <w:tcPr>
            <w:tcW w:w="655" w:type="dxa"/>
            <w:tcMar>
              <w:top w:w="17" w:type="dxa"/>
              <w:left w:w="57" w:type="dxa"/>
              <w:bottom w:w="17" w:type="dxa"/>
              <w:right w:w="57" w:type="dxa"/>
            </w:tcMar>
            <w:vAlign w:val="center"/>
          </w:tcPr>
          <w:p w14:paraId="7D0908F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2A7E8A6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1FFB284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30677D0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产品检验</w:t>
            </w:r>
          </w:p>
        </w:tc>
        <w:tc>
          <w:tcPr>
            <w:tcW w:w="960" w:type="dxa"/>
            <w:tcMar>
              <w:top w:w="17" w:type="dxa"/>
              <w:left w:w="57" w:type="dxa"/>
              <w:bottom w:w="17" w:type="dxa"/>
              <w:right w:w="57" w:type="dxa"/>
            </w:tcMar>
            <w:vAlign w:val="center"/>
          </w:tcPr>
          <w:p w14:paraId="2540C8C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检验仪器设备</w:t>
            </w:r>
          </w:p>
        </w:tc>
        <w:tc>
          <w:tcPr>
            <w:tcW w:w="2990" w:type="dxa"/>
            <w:tcMar>
              <w:top w:w="17" w:type="dxa"/>
              <w:left w:w="57" w:type="dxa"/>
              <w:bottom w:w="17" w:type="dxa"/>
              <w:right w:w="57" w:type="dxa"/>
            </w:tcMar>
            <w:vAlign w:val="center"/>
          </w:tcPr>
          <w:p w14:paraId="06F5B17E">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1.检验室中缺少出厂检验自检项目必备的仪器设备，检验仪器设备不能正常运行或不满足检验要求，无法有效落实产品出厂检验。</w:t>
            </w:r>
          </w:p>
          <w:p w14:paraId="5ED1310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2.检验仪器设备未按期检定或校准，设备维修期间仍出具检验报告。</w:t>
            </w:r>
          </w:p>
        </w:tc>
        <w:tc>
          <w:tcPr>
            <w:tcW w:w="3587" w:type="dxa"/>
            <w:tcMar>
              <w:top w:w="17" w:type="dxa"/>
              <w:left w:w="57" w:type="dxa"/>
              <w:bottom w:w="17" w:type="dxa"/>
              <w:right w:w="57" w:type="dxa"/>
            </w:tcMar>
            <w:vAlign w:val="center"/>
          </w:tcPr>
          <w:p w14:paraId="752E5D92">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1.实验前对检验设备设施进行检查，确保满足相应检验要求。</w:t>
            </w:r>
          </w:p>
          <w:p w14:paraId="494CF752">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2.对照仪器设备清单核查需检定或校准的仪器是否检定、校准，参数是否满足检验要求。</w:t>
            </w:r>
          </w:p>
        </w:tc>
        <w:tc>
          <w:tcPr>
            <w:tcW w:w="1136" w:type="dxa"/>
            <w:tcMar>
              <w:top w:w="17" w:type="dxa"/>
              <w:left w:w="57" w:type="dxa"/>
              <w:bottom w:w="17" w:type="dxa"/>
              <w:right w:w="57" w:type="dxa"/>
            </w:tcMar>
            <w:vAlign w:val="center"/>
          </w:tcPr>
          <w:p w14:paraId="4C92902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每次实验前/定期</w:t>
            </w:r>
          </w:p>
        </w:tc>
        <w:tc>
          <w:tcPr>
            <w:tcW w:w="1674" w:type="dxa"/>
            <w:tcMar>
              <w:top w:w="17" w:type="dxa"/>
              <w:left w:w="57" w:type="dxa"/>
              <w:bottom w:w="17" w:type="dxa"/>
              <w:right w:w="57" w:type="dxa"/>
            </w:tcMar>
            <w:vAlign w:val="center"/>
          </w:tcPr>
          <w:p w14:paraId="15E1F80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17405、标准和内控要求。</w:t>
            </w:r>
          </w:p>
        </w:tc>
        <w:tc>
          <w:tcPr>
            <w:tcW w:w="717" w:type="dxa"/>
            <w:tcMar>
              <w:top w:w="17" w:type="dxa"/>
              <w:left w:w="57" w:type="dxa"/>
              <w:bottom w:w="17" w:type="dxa"/>
              <w:right w:w="57" w:type="dxa"/>
            </w:tcMar>
            <w:vAlign w:val="center"/>
          </w:tcPr>
          <w:p w14:paraId="6691824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7B88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194" w:hRule="atLeast"/>
          <w:jc w:val="center"/>
        </w:trPr>
        <w:tc>
          <w:tcPr>
            <w:tcW w:w="655" w:type="dxa"/>
            <w:tcMar>
              <w:top w:w="17" w:type="dxa"/>
              <w:left w:w="57" w:type="dxa"/>
              <w:bottom w:w="17" w:type="dxa"/>
              <w:right w:w="57" w:type="dxa"/>
            </w:tcMar>
            <w:vAlign w:val="center"/>
          </w:tcPr>
          <w:p w14:paraId="445B5BF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587787E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701F0E2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128C608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产品检验</w:t>
            </w:r>
          </w:p>
        </w:tc>
        <w:tc>
          <w:tcPr>
            <w:tcW w:w="960" w:type="dxa"/>
            <w:tcMar>
              <w:top w:w="17" w:type="dxa"/>
              <w:left w:w="57" w:type="dxa"/>
              <w:bottom w:w="17" w:type="dxa"/>
              <w:right w:w="57" w:type="dxa"/>
            </w:tcMar>
            <w:vAlign w:val="center"/>
          </w:tcPr>
          <w:p w14:paraId="57C3F4D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检验试剂</w:t>
            </w:r>
          </w:p>
        </w:tc>
        <w:tc>
          <w:tcPr>
            <w:tcW w:w="2990" w:type="dxa"/>
            <w:tcMar>
              <w:top w:w="17" w:type="dxa"/>
              <w:left w:w="57" w:type="dxa"/>
              <w:bottom w:w="17" w:type="dxa"/>
              <w:right w:w="57" w:type="dxa"/>
            </w:tcMar>
            <w:vAlign w:val="center"/>
          </w:tcPr>
          <w:p w14:paraId="0B122199">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1.出厂检验自检项目必备的试剂配备不全。</w:t>
            </w:r>
          </w:p>
          <w:p w14:paraId="5C4C3059">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2.检验试剂超过有效期，未对过期试剂进行有效识别和管理。</w:t>
            </w:r>
          </w:p>
          <w:p w14:paraId="4A2FD033">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3.实验室正在使用的试剂的保存条件、标签、状态不满足该试剂的要求。</w:t>
            </w:r>
          </w:p>
          <w:p w14:paraId="2A236A0F">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4.易制毒、易制爆、剧毒试剂等检验试剂未按有关规定管理。</w:t>
            </w:r>
          </w:p>
        </w:tc>
        <w:tc>
          <w:tcPr>
            <w:tcW w:w="3587" w:type="dxa"/>
            <w:tcMar>
              <w:top w:w="17" w:type="dxa"/>
              <w:left w:w="57" w:type="dxa"/>
              <w:bottom w:w="17" w:type="dxa"/>
              <w:right w:w="57" w:type="dxa"/>
            </w:tcMar>
            <w:vAlign w:val="center"/>
          </w:tcPr>
          <w:p w14:paraId="37AC5107">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1.对检验所需的试剂耗材、培养基、标准物质（含工作对照品）、标准菌株等进行技术验收或确认，妥善保管并建立台账。</w:t>
            </w:r>
          </w:p>
          <w:p w14:paraId="028B9819">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2.检查正在使用的试剂的保存条件、标签、状态应满足该试剂的要求。</w:t>
            </w:r>
          </w:p>
          <w:p w14:paraId="1BD6D80C">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3.易制毒、易制爆、剧毒试剂等检验试剂按有关规定管理，检验试剂的消耗量应与使用记录相匹配。</w:t>
            </w:r>
          </w:p>
        </w:tc>
        <w:tc>
          <w:tcPr>
            <w:tcW w:w="1136" w:type="dxa"/>
            <w:tcMar>
              <w:top w:w="17" w:type="dxa"/>
              <w:left w:w="57" w:type="dxa"/>
              <w:bottom w:w="17" w:type="dxa"/>
              <w:right w:w="57" w:type="dxa"/>
            </w:tcMar>
            <w:vAlign w:val="center"/>
          </w:tcPr>
          <w:p w14:paraId="0961570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按批次</w:t>
            </w:r>
          </w:p>
        </w:tc>
        <w:tc>
          <w:tcPr>
            <w:tcW w:w="1674" w:type="dxa"/>
            <w:tcMar>
              <w:top w:w="17" w:type="dxa"/>
              <w:left w:w="57" w:type="dxa"/>
              <w:bottom w:w="17" w:type="dxa"/>
              <w:right w:w="57" w:type="dxa"/>
            </w:tcMar>
            <w:vAlign w:val="center"/>
          </w:tcPr>
          <w:p w14:paraId="10ED2A4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符合《保健食品生产许可审查细则》、标准和内控要求。</w:t>
            </w:r>
          </w:p>
        </w:tc>
        <w:tc>
          <w:tcPr>
            <w:tcW w:w="717" w:type="dxa"/>
            <w:tcMar>
              <w:top w:w="17" w:type="dxa"/>
              <w:left w:w="57" w:type="dxa"/>
              <w:bottom w:w="17" w:type="dxa"/>
              <w:right w:w="57" w:type="dxa"/>
            </w:tcMar>
            <w:vAlign w:val="center"/>
          </w:tcPr>
          <w:p w14:paraId="68663E6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6477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270" w:hRule="atLeast"/>
          <w:jc w:val="center"/>
        </w:trPr>
        <w:tc>
          <w:tcPr>
            <w:tcW w:w="655" w:type="dxa"/>
            <w:tcMar>
              <w:top w:w="17" w:type="dxa"/>
              <w:left w:w="57" w:type="dxa"/>
              <w:bottom w:w="17" w:type="dxa"/>
              <w:right w:w="57" w:type="dxa"/>
            </w:tcMar>
            <w:vAlign w:val="center"/>
          </w:tcPr>
          <w:p w14:paraId="3C5A009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33148FB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A1A51D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42442E5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产品检验</w:t>
            </w:r>
          </w:p>
        </w:tc>
        <w:tc>
          <w:tcPr>
            <w:tcW w:w="960" w:type="dxa"/>
            <w:tcMar>
              <w:top w:w="17" w:type="dxa"/>
              <w:left w:w="57" w:type="dxa"/>
              <w:bottom w:w="17" w:type="dxa"/>
              <w:right w:w="57" w:type="dxa"/>
            </w:tcMar>
            <w:vAlign w:val="center"/>
          </w:tcPr>
          <w:p w14:paraId="51DA215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检验环境</w:t>
            </w:r>
          </w:p>
        </w:tc>
        <w:tc>
          <w:tcPr>
            <w:tcW w:w="2990" w:type="dxa"/>
            <w:tcMar>
              <w:top w:w="17" w:type="dxa"/>
              <w:left w:w="57" w:type="dxa"/>
              <w:bottom w:w="17" w:type="dxa"/>
              <w:right w:w="57" w:type="dxa"/>
            </w:tcMar>
            <w:vAlign w:val="center"/>
          </w:tcPr>
          <w:p w14:paraId="7DBC188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未对影响检测结果有效性的环境因素进行控制。</w:t>
            </w:r>
          </w:p>
        </w:tc>
        <w:tc>
          <w:tcPr>
            <w:tcW w:w="3587" w:type="dxa"/>
            <w:tcMar>
              <w:top w:w="17" w:type="dxa"/>
              <w:left w:w="57" w:type="dxa"/>
              <w:bottom w:w="17" w:type="dxa"/>
              <w:right w:w="57" w:type="dxa"/>
            </w:tcMar>
            <w:vAlign w:val="center"/>
          </w:tcPr>
          <w:p w14:paraId="266270B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对各检验区域的温湿度进行监控和记录，对影响检测结果有效性的环境因素进行控制。</w:t>
            </w:r>
          </w:p>
        </w:tc>
        <w:tc>
          <w:tcPr>
            <w:tcW w:w="1136" w:type="dxa"/>
            <w:tcMar>
              <w:top w:w="17" w:type="dxa"/>
              <w:left w:w="57" w:type="dxa"/>
              <w:bottom w:w="17" w:type="dxa"/>
              <w:right w:w="57" w:type="dxa"/>
            </w:tcMar>
            <w:vAlign w:val="center"/>
          </w:tcPr>
          <w:p w14:paraId="42D52FE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74" w:type="dxa"/>
            <w:tcMar>
              <w:top w:w="17" w:type="dxa"/>
              <w:left w:w="57" w:type="dxa"/>
              <w:bottom w:w="17" w:type="dxa"/>
              <w:right w:w="57" w:type="dxa"/>
            </w:tcMar>
            <w:vAlign w:val="center"/>
          </w:tcPr>
          <w:p w14:paraId="09488A8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符合《保健食品生产许可审查细则》、标准和内控要求。</w:t>
            </w:r>
          </w:p>
        </w:tc>
        <w:tc>
          <w:tcPr>
            <w:tcW w:w="717" w:type="dxa"/>
            <w:tcMar>
              <w:top w:w="17" w:type="dxa"/>
              <w:left w:w="57" w:type="dxa"/>
              <w:bottom w:w="17" w:type="dxa"/>
              <w:right w:w="57" w:type="dxa"/>
            </w:tcMar>
            <w:vAlign w:val="center"/>
          </w:tcPr>
          <w:p w14:paraId="21364E2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10685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20" w:hRule="atLeast"/>
          <w:jc w:val="center"/>
        </w:trPr>
        <w:tc>
          <w:tcPr>
            <w:tcW w:w="655" w:type="dxa"/>
            <w:tcMar>
              <w:top w:w="17" w:type="dxa"/>
              <w:left w:w="57" w:type="dxa"/>
              <w:bottom w:w="17" w:type="dxa"/>
              <w:right w:w="57" w:type="dxa"/>
            </w:tcMar>
            <w:vAlign w:val="center"/>
          </w:tcPr>
          <w:p w14:paraId="2BC11F0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7512F9F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5CF9551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39E8328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产品检验</w:t>
            </w:r>
          </w:p>
        </w:tc>
        <w:tc>
          <w:tcPr>
            <w:tcW w:w="960" w:type="dxa"/>
            <w:tcMar>
              <w:top w:w="17" w:type="dxa"/>
              <w:left w:w="57" w:type="dxa"/>
              <w:bottom w:w="17" w:type="dxa"/>
              <w:right w:w="57" w:type="dxa"/>
            </w:tcMar>
            <w:vAlign w:val="center"/>
          </w:tcPr>
          <w:p w14:paraId="3BF8155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检验能力</w:t>
            </w:r>
          </w:p>
        </w:tc>
        <w:tc>
          <w:tcPr>
            <w:tcW w:w="2990" w:type="dxa"/>
            <w:tcMar>
              <w:top w:w="17" w:type="dxa"/>
              <w:left w:w="57" w:type="dxa"/>
              <w:bottom w:w="17" w:type="dxa"/>
              <w:right w:w="57" w:type="dxa"/>
            </w:tcMar>
            <w:vAlign w:val="center"/>
          </w:tcPr>
          <w:p w14:paraId="5A063D48">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1.委托检验的项目未建立委托检验管理制度，未同有资质的检验机构签订委托合同。</w:t>
            </w:r>
          </w:p>
          <w:p w14:paraId="46F56B1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2.未配备与生产产品相适应的食品安全标准文本，标准已过期或失效，未及时更新。检验依据错误，检验方法与检验标准规定不一致。</w:t>
            </w:r>
          </w:p>
          <w:p w14:paraId="14E9ABF4">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3.企业标准不健全，与注册或备案内容不一致。</w:t>
            </w:r>
          </w:p>
          <w:p w14:paraId="748665E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4.成品未逐批开展出厂检验，未按企业标准规定项目进行出厂检验，出厂检验缺少项目。</w:t>
            </w:r>
          </w:p>
          <w:p w14:paraId="1888DA97">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5.未开展全项目型式检验。</w:t>
            </w:r>
          </w:p>
          <w:p w14:paraId="61DCA25D">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6.检验员数量不够或能力不足，检验工作的操作不符合检验项目的标准要求。</w:t>
            </w:r>
          </w:p>
        </w:tc>
        <w:tc>
          <w:tcPr>
            <w:tcW w:w="3587" w:type="dxa"/>
            <w:tcMar>
              <w:top w:w="17" w:type="dxa"/>
              <w:left w:w="57" w:type="dxa"/>
              <w:bottom w:w="17" w:type="dxa"/>
              <w:right w:w="57" w:type="dxa"/>
            </w:tcMar>
            <w:vAlign w:val="center"/>
          </w:tcPr>
          <w:p w14:paraId="2A4FE070">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1.不能自检的，委托有资质的检验机构进行检验，建立委托检验管理制度，签订书面合同，明确规定委托检验的内容及相关技术事项。明确委托检验报告保留期限，并按要求保留检验报告。</w:t>
            </w:r>
          </w:p>
          <w:p w14:paraId="5F83441B">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2.配备完整的现行有效的食品安全标准文本，至少包括原辅料、包装材料质量标准、产品企业标准、检验标准等。产品出厂检验依据应正确，检验方法与检验标准规定应一致。</w:t>
            </w:r>
          </w:p>
          <w:p w14:paraId="1EFD583A">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3.保健食品企业标准符合注册或备案的产品技术要求及食品安全国家标准的要求。</w:t>
            </w:r>
          </w:p>
          <w:p w14:paraId="77B995D1">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4.每批保健食品按照企业标准的要求进行出厂检验，每个品种每年按照产品技术要求至少进行一次全项目型式检验。</w:t>
            </w:r>
          </w:p>
          <w:p w14:paraId="574EAF99">
            <w:pPr>
              <w:keepNext w:val="0"/>
              <w:keepLines w:val="0"/>
              <w:pageBreakBefore w:val="0"/>
              <w:widowControl w:val="0"/>
              <w:kinsoku/>
              <w:wordWrap/>
              <w:overflowPunct w:val="0"/>
              <w:topLinePunct w:val="0"/>
              <w:autoSpaceDE/>
              <w:autoSpaceDN/>
              <w:bidi w:val="0"/>
              <w:adjustRightInd w:val="0"/>
              <w:snapToGrid w:val="0"/>
              <w:spacing w:line="28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5.检验人员经培训合格，具备相应检验能力，监督员工检验操作过程是否满足检测方法要求。</w:t>
            </w:r>
          </w:p>
        </w:tc>
        <w:tc>
          <w:tcPr>
            <w:tcW w:w="1136" w:type="dxa"/>
            <w:tcMar>
              <w:top w:w="17" w:type="dxa"/>
              <w:left w:w="57" w:type="dxa"/>
              <w:bottom w:w="17" w:type="dxa"/>
              <w:right w:w="57" w:type="dxa"/>
            </w:tcMar>
            <w:vAlign w:val="center"/>
          </w:tcPr>
          <w:p w14:paraId="74D4D69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1-3：每年</w:t>
            </w:r>
          </w:p>
          <w:p w14:paraId="393CC1B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4：每批</w:t>
            </w:r>
          </w:p>
          <w:p w14:paraId="3B5DF9A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5：定期</w:t>
            </w:r>
          </w:p>
        </w:tc>
        <w:tc>
          <w:tcPr>
            <w:tcW w:w="1674" w:type="dxa"/>
            <w:tcMar>
              <w:top w:w="17" w:type="dxa"/>
              <w:left w:w="57" w:type="dxa"/>
              <w:bottom w:w="17" w:type="dxa"/>
              <w:right w:w="57" w:type="dxa"/>
            </w:tcMar>
            <w:vAlign w:val="center"/>
          </w:tcPr>
          <w:p w14:paraId="1F07F7E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符合《保健食品生产许可审查细则》、标准和内控要求。</w:t>
            </w:r>
          </w:p>
        </w:tc>
        <w:tc>
          <w:tcPr>
            <w:tcW w:w="717" w:type="dxa"/>
            <w:tcMar>
              <w:top w:w="17" w:type="dxa"/>
              <w:left w:w="57" w:type="dxa"/>
              <w:bottom w:w="17" w:type="dxa"/>
              <w:right w:w="57" w:type="dxa"/>
            </w:tcMar>
            <w:vAlign w:val="center"/>
          </w:tcPr>
          <w:p w14:paraId="72B866F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0A32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618" w:hRule="atLeast"/>
          <w:jc w:val="center"/>
        </w:trPr>
        <w:tc>
          <w:tcPr>
            <w:tcW w:w="655" w:type="dxa"/>
            <w:tcMar>
              <w:top w:w="17" w:type="dxa"/>
              <w:left w:w="57" w:type="dxa"/>
              <w:bottom w:w="17" w:type="dxa"/>
              <w:right w:w="57" w:type="dxa"/>
            </w:tcMar>
            <w:vAlign w:val="center"/>
          </w:tcPr>
          <w:p w14:paraId="6E3384F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2764256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39C26E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1298C9E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产品检验</w:t>
            </w:r>
          </w:p>
        </w:tc>
        <w:tc>
          <w:tcPr>
            <w:tcW w:w="960" w:type="dxa"/>
            <w:tcMar>
              <w:top w:w="17" w:type="dxa"/>
              <w:left w:w="57" w:type="dxa"/>
              <w:bottom w:w="17" w:type="dxa"/>
              <w:right w:w="57" w:type="dxa"/>
            </w:tcMar>
            <w:vAlign w:val="center"/>
          </w:tcPr>
          <w:p w14:paraId="2B93C4E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检验记录</w:t>
            </w:r>
          </w:p>
        </w:tc>
        <w:tc>
          <w:tcPr>
            <w:tcW w:w="2990" w:type="dxa"/>
            <w:tcMar>
              <w:top w:w="17" w:type="dxa"/>
              <w:left w:w="57" w:type="dxa"/>
              <w:bottom w:w="17" w:type="dxa"/>
              <w:right w:w="57" w:type="dxa"/>
            </w:tcMar>
            <w:vAlign w:val="center"/>
          </w:tcPr>
          <w:p w14:paraId="70AEE24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检验记录、检验报告不真实、不完整、不规范，无法确保检验过程的追溯性：</w:t>
            </w:r>
          </w:p>
          <w:p w14:paraId="124E870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1.缺少出厂检验原始记录，检验原始记录不规范、不完整，出厂检验原始记录不真实或伪造原始记录。</w:t>
            </w:r>
          </w:p>
          <w:p w14:paraId="5A8E1A9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2.检验报告不规范、不完整，如缺少生产日期、取样日期、检验依据等，检验报告数据与原始检验记录不能对应。</w:t>
            </w:r>
          </w:p>
          <w:p w14:paraId="544ADA7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3.无仪器使用记录，仪器使用记录填写不完整，如无样品批号等信息，仪器使用记录与实际使用情况不一致，无法调取仪器中检验原始图谱等信息。</w:t>
            </w:r>
          </w:p>
        </w:tc>
        <w:tc>
          <w:tcPr>
            <w:tcW w:w="3587" w:type="dxa"/>
            <w:tcMar>
              <w:top w:w="17" w:type="dxa"/>
              <w:left w:w="57" w:type="dxa"/>
              <w:bottom w:w="17" w:type="dxa"/>
              <w:right w:w="57" w:type="dxa"/>
            </w:tcMar>
            <w:vAlign w:val="center"/>
          </w:tcPr>
          <w:p w14:paraId="53CDD47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1.检验原始记录应真实、规范、完整，检验操作步骤和参数应齐全，例如：恒重过程数据、检验仪器信息、标准品来源信息等。</w:t>
            </w:r>
          </w:p>
          <w:p w14:paraId="135C364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2.检验报告应真实、规范、完整，检验结果应有相对应的检验原始记录，出厂检验报告应与生产记录、产品入库记录的批次相一致，录入数据应准确、规范。</w:t>
            </w:r>
          </w:p>
          <w:p w14:paraId="6B36BD9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3.仪器使用记录应完整，与检验原始记录相对应，并与实际使用情况相一致。</w:t>
            </w:r>
          </w:p>
        </w:tc>
        <w:tc>
          <w:tcPr>
            <w:tcW w:w="1136" w:type="dxa"/>
            <w:tcMar>
              <w:top w:w="17" w:type="dxa"/>
              <w:left w:w="57" w:type="dxa"/>
              <w:bottom w:w="17" w:type="dxa"/>
              <w:right w:w="57" w:type="dxa"/>
            </w:tcMar>
            <w:vAlign w:val="center"/>
          </w:tcPr>
          <w:p w14:paraId="79A91C7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1-2：每批</w:t>
            </w:r>
          </w:p>
          <w:p w14:paraId="448290D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3：每日</w:t>
            </w:r>
          </w:p>
        </w:tc>
        <w:tc>
          <w:tcPr>
            <w:tcW w:w="1674" w:type="dxa"/>
            <w:tcMar>
              <w:top w:w="17" w:type="dxa"/>
              <w:left w:w="57" w:type="dxa"/>
              <w:bottom w:w="17" w:type="dxa"/>
              <w:right w:w="57" w:type="dxa"/>
            </w:tcMar>
            <w:vAlign w:val="center"/>
          </w:tcPr>
          <w:p w14:paraId="61B4CF8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14881等标准和内控要求</w:t>
            </w:r>
          </w:p>
        </w:tc>
        <w:tc>
          <w:tcPr>
            <w:tcW w:w="717" w:type="dxa"/>
            <w:tcMar>
              <w:top w:w="17" w:type="dxa"/>
              <w:left w:w="57" w:type="dxa"/>
              <w:bottom w:w="17" w:type="dxa"/>
              <w:right w:w="57" w:type="dxa"/>
            </w:tcMar>
            <w:vAlign w:val="center"/>
          </w:tcPr>
          <w:p w14:paraId="45A5748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6916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371" w:hRule="atLeast"/>
          <w:jc w:val="center"/>
        </w:trPr>
        <w:tc>
          <w:tcPr>
            <w:tcW w:w="655" w:type="dxa"/>
            <w:tcMar>
              <w:top w:w="17" w:type="dxa"/>
              <w:left w:w="57" w:type="dxa"/>
              <w:bottom w:w="17" w:type="dxa"/>
              <w:right w:w="57" w:type="dxa"/>
            </w:tcMar>
            <w:vAlign w:val="center"/>
          </w:tcPr>
          <w:p w14:paraId="4253517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2CFA85C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697DD91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3B547F5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产品留样</w:t>
            </w:r>
          </w:p>
        </w:tc>
        <w:tc>
          <w:tcPr>
            <w:tcW w:w="960" w:type="dxa"/>
            <w:tcMar>
              <w:top w:w="17" w:type="dxa"/>
              <w:left w:w="57" w:type="dxa"/>
              <w:bottom w:w="17" w:type="dxa"/>
              <w:right w:w="57" w:type="dxa"/>
            </w:tcMar>
            <w:vAlign w:val="center"/>
          </w:tcPr>
          <w:p w14:paraId="58DADEA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留样管理</w:t>
            </w:r>
          </w:p>
        </w:tc>
        <w:tc>
          <w:tcPr>
            <w:tcW w:w="2990" w:type="dxa"/>
            <w:tcMar>
              <w:top w:w="17" w:type="dxa"/>
              <w:left w:w="57" w:type="dxa"/>
              <w:bottom w:w="17" w:type="dxa"/>
              <w:right w:w="57" w:type="dxa"/>
            </w:tcMar>
            <w:vAlign w:val="center"/>
          </w:tcPr>
          <w:p w14:paraId="5DA793E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样品保质期内出现异常不能进行有效溯源：</w:t>
            </w:r>
          </w:p>
          <w:p w14:paraId="03CFB9C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1.未逐批留样，产品留样为非市售包装，不同市售包装未分别留样（保健食品原料提取物可采用非市售包装方式留样）。</w:t>
            </w:r>
          </w:p>
          <w:p w14:paraId="4611358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2.产品留样数量无法满足质量追溯要求。</w:t>
            </w:r>
          </w:p>
          <w:p w14:paraId="3718B85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3.留样记录不规范或内容缺失，留样室样品与留样记录无法对应。</w:t>
            </w:r>
          </w:p>
          <w:p w14:paraId="4C5A918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4.留样保存期限不符合要求。</w:t>
            </w:r>
          </w:p>
          <w:p w14:paraId="68D7DC9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5.留样储存条件不符合要求。</w:t>
            </w:r>
          </w:p>
        </w:tc>
        <w:tc>
          <w:tcPr>
            <w:tcW w:w="3587" w:type="dxa"/>
            <w:tcMar>
              <w:top w:w="17" w:type="dxa"/>
              <w:left w:w="57" w:type="dxa"/>
              <w:bottom w:w="17" w:type="dxa"/>
              <w:right w:w="57" w:type="dxa"/>
            </w:tcMar>
            <w:vAlign w:val="center"/>
          </w:tcPr>
          <w:p w14:paraId="1AD1302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1.按规定对每批保健食品进行留样，并有留样记录，留样数量应满足产品质量追溯检验的要求。</w:t>
            </w:r>
          </w:p>
          <w:p w14:paraId="3B96127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2.留样产品的包装、规格等应与出厂销售的产品相一致（保健食品原料提取物可采用非市售包装方式留样），留样产品的批号应与实际生产相符。</w:t>
            </w:r>
          </w:p>
          <w:p w14:paraId="4DC9C0F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3.留样产品保存期限应符合相关法规要求。</w:t>
            </w:r>
          </w:p>
          <w:p w14:paraId="30B0E9D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4.检查留样库的样品贮存条件以及防护情况，应符合产品储存条件要求。</w:t>
            </w:r>
          </w:p>
        </w:tc>
        <w:tc>
          <w:tcPr>
            <w:tcW w:w="1136" w:type="dxa"/>
            <w:tcMar>
              <w:top w:w="17" w:type="dxa"/>
              <w:left w:w="57" w:type="dxa"/>
              <w:bottom w:w="17" w:type="dxa"/>
              <w:right w:w="57" w:type="dxa"/>
            </w:tcMar>
            <w:vAlign w:val="center"/>
          </w:tcPr>
          <w:p w14:paraId="7B0A04F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1-3：每批</w:t>
            </w:r>
          </w:p>
          <w:p w14:paraId="7A6A18A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4：每日</w:t>
            </w:r>
          </w:p>
        </w:tc>
        <w:tc>
          <w:tcPr>
            <w:tcW w:w="1674" w:type="dxa"/>
            <w:tcMar>
              <w:top w:w="17" w:type="dxa"/>
              <w:left w:w="57" w:type="dxa"/>
              <w:bottom w:w="17" w:type="dxa"/>
              <w:right w:w="57" w:type="dxa"/>
            </w:tcMar>
            <w:vAlign w:val="center"/>
          </w:tcPr>
          <w:p w14:paraId="427CE97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14881和内控要求</w:t>
            </w:r>
          </w:p>
        </w:tc>
        <w:tc>
          <w:tcPr>
            <w:tcW w:w="717" w:type="dxa"/>
            <w:tcMar>
              <w:top w:w="17" w:type="dxa"/>
              <w:left w:w="57" w:type="dxa"/>
              <w:bottom w:w="17" w:type="dxa"/>
              <w:right w:w="57" w:type="dxa"/>
            </w:tcMar>
            <w:vAlign w:val="center"/>
          </w:tcPr>
          <w:p w14:paraId="3152EF6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02CD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20" w:hRule="atLeast"/>
          <w:jc w:val="center"/>
        </w:trPr>
        <w:tc>
          <w:tcPr>
            <w:tcW w:w="655" w:type="dxa"/>
            <w:tcMar>
              <w:top w:w="17" w:type="dxa"/>
              <w:left w:w="57" w:type="dxa"/>
              <w:bottom w:w="17" w:type="dxa"/>
              <w:right w:w="57" w:type="dxa"/>
            </w:tcMar>
            <w:vAlign w:val="center"/>
          </w:tcPr>
          <w:p w14:paraId="5A036C2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638F13E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207E4B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1023E05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贮存及交付控制</w:t>
            </w:r>
          </w:p>
        </w:tc>
        <w:tc>
          <w:tcPr>
            <w:tcW w:w="960" w:type="dxa"/>
            <w:tcMar>
              <w:top w:w="17" w:type="dxa"/>
              <w:left w:w="57" w:type="dxa"/>
              <w:bottom w:w="17" w:type="dxa"/>
              <w:right w:w="57" w:type="dxa"/>
            </w:tcMar>
            <w:vAlign w:val="center"/>
          </w:tcPr>
          <w:p w14:paraId="4BF2481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贮存和运输条件</w:t>
            </w:r>
          </w:p>
        </w:tc>
        <w:tc>
          <w:tcPr>
            <w:tcW w:w="2990" w:type="dxa"/>
            <w:tcMar>
              <w:top w:w="17" w:type="dxa"/>
              <w:left w:w="57" w:type="dxa"/>
              <w:bottom w:w="17" w:type="dxa"/>
              <w:right w:w="57" w:type="dxa"/>
            </w:tcMar>
            <w:vAlign w:val="center"/>
          </w:tcPr>
          <w:p w14:paraId="51FF4D8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1.贮存和运输条件不符合产品储运要求，有冷链要求的，无冷链控制制度或无相关记录。</w:t>
            </w:r>
          </w:p>
          <w:p w14:paraId="0430FD6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2.产品与有毒、有害物品同车或同一容器混装。</w:t>
            </w:r>
          </w:p>
          <w:p w14:paraId="7B121F4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3.不合格品或被污染产品交付。</w:t>
            </w:r>
          </w:p>
        </w:tc>
        <w:tc>
          <w:tcPr>
            <w:tcW w:w="3587" w:type="dxa"/>
            <w:tcMar>
              <w:top w:w="17" w:type="dxa"/>
              <w:left w:w="57" w:type="dxa"/>
              <w:bottom w:w="17" w:type="dxa"/>
              <w:right w:w="57" w:type="dxa"/>
            </w:tcMar>
            <w:vAlign w:val="center"/>
          </w:tcPr>
          <w:p w14:paraId="3D364A6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1.根据食品特点和卫生需要选择适宜的贮存和运输条件，有冷链要求的，建立冷链控制制度和记录。</w:t>
            </w:r>
          </w:p>
          <w:p w14:paraId="53151BE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2.产品运输设施应清洁，运输过程不得与有毒、有害物品同车或同一容器混装。</w:t>
            </w:r>
          </w:p>
          <w:p w14:paraId="18A6E6B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3.未经检验或检验不合格的产品不得出厂。</w:t>
            </w:r>
          </w:p>
        </w:tc>
        <w:tc>
          <w:tcPr>
            <w:tcW w:w="1136" w:type="dxa"/>
            <w:tcMar>
              <w:top w:w="17" w:type="dxa"/>
              <w:left w:w="57" w:type="dxa"/>
              <w:bottom w:w="17" w:type="dxa"/>
              <w:right w:w="57" w:type="dxa"/>
            </w:tcMar>
            <w:vAlign w:val="center"/>
          </w:tcPr>
          <w:p w14:paraId="7809027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74" w:type="dxa"/>
            <w:tcMar>
              <w:top w:w="17" w:type="dxa"/>
              <w:left w:w="57" w:type="dxa"/>
              <w:bottom w:w="17" w:type="dxa"/>
              <w:right w:w="57" w:type="dxa"/>
            </w:tcMar>
            <w:vAlign w:val="center"/>
          </w:tcPr>
          <w:p w14:paraId="63D7B18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符合GB 14881要求</w:t>
            </w:r>
          </w:p>
        </w:tc>
        <w:tc>
          <w:tcPr>
            <w:tcW w:w="717" w:type="dxa"/>
            <w:tcMar>
              <w:top w:w="17" w:type="dxa"/>
              <w:left w:w="57" w:type="dxa"/>
              <w:bottom w:w="17" w:type="dxa"/>
              <w:right w:w="57" w:type="dxa"/>
            </w:tcMar>
            <w:vAlign w:val="center"/>
          </w:tcPr>
          <w:p w14:paraId="77061F8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73BB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2279" w:hRule="atLeast"/>
          <w:jc w:val="center"/>
        </w:trPr>
        <w:tc>
          <w:tcPr>
            <w:tcW w:w="655" w:type="dxa"/>
            <w:tcMar>
              <w:top w:w="17" w:type="dxa"/>
              <w:left w:w="57" w:type="dxa"/>
              <w:bottom w:w="17" w:type="dxa"/>
              <w:right w:w="57" w:type="dxa"/>
            </w:tcMar>
            <w:vAlign w:val="center"/>
          </w:tcPr>
          <w:p w14:paraId="3866E71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5147B2C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14E09DE3">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21ACE4E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贮存及交付控制</w:t>
            </w:r>
          </w:p>
        </w:tc>
        <w:tc>
          <w:tcPr>
            <w:tcW w:w="960" w:type="dxa"/>
            <w:tcMar>
              <w:top w:w="17" w:type="dxa"/>
              <w:left w:w="57" w:type="dxa"/>
              <w:bottom w:w="17" w:type="dxa"/>
              <w:right w:w="57" w:type="dxa"/>
            </w:tcMar>
            <w:vAlign w:val="center"/>
          </w:tcPr>
          <w:p w14:paraId="6837D31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出厂记录</w:t>
            </w:r>
          </w:p>
        </w:tc>
        <w:tc>
          <w:tcPr>
            <w:tcW w:w="2990" w:type="dxa"/>
            <w:tcMar>
              <w:top w:w="17" w:type="dxa"/>
              <w:left w:w="57" w:type="dxa"/>
              <w:bottom w:w="17" w:type="dxa"/>
              <w:right w:w="57" w:type="dxa"/>
            </w:tcMar>
            <w:vAlign w:val="center"/>
          </w:tcPr>
          <w:p w14:paraId="17F6C61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出厂记录缺失或不完整，导致无法追溯。</w:t>
            </w:r>
          </w:p>
        </w:tc>
        <w:tc>
          <w:tcPr>
            <w:tcW w:w="3587" w:type="dxa"/>
            <w:tcMar>
              <w:top w:w="17" w:type="dxa"/>
              <w:left w:w="57" w:type="dxa"/>
              <w:bottom w:w="17" w:type="dxa"/>
              <w:right w:w="57" w:type="dxa"/>
            </w:tcMar>
            <w:vAlign w:val="center"/>
          </w:tcPr>
          <w:p w14:paraId="4808E12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1.建立每批产品出厂记录，如实记录食品的名称、规格、数量、生产日期或者生产批号、检验合格证明、销售日期以及购货者名称、地址、联系方式等内容。</w:t>
            </w:r>
          </w:p>
          <w:p w14:paraId="58DB4DF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2.出厂记录真实、完整、可追溯，同批产品的数量、生产日期/生产批号信息要与生产记录、检验报告、入库记录、出库记录相符，购货者名称要与发货单名称一致。</w:t>
            </w:r>
          </w:p>
        </w:tc>
        <w:tc>
          <w:tcPr>
            <w:tcW w:w="1136" w:type="dxa"/>
            <w:tcMar>
              <w:top w:w="17" w:type="dxa"/>
              <w:left w:w="57" w:type="dxa"/>
              <w:bottom w:w="17" w:type="dxa"/>
              <w:right w:w="57" w:type="dxa"/>
            </w:tcMar>
            <w:vAlign w:val="center"/>
          </w:tcPr>
          <w:p w14:paraId="7472749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74" w:type="dxa"/>
            <w:tcMar>
              <w:top w:w="17" w:type="dxa"/>
              <w:left w:w="57" w:type="dxa"/>
              <w:bottom w:w="17" w:type="dxa"/>
              <w:right w:w="57" w:type="dxa"/>
            </w:tcMar>
            <w:vAlign w:val="center"/>
          </w:tcPr>
          <w:p w14:paraId="2C734DE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符合GB 14881要求</w:t>
            </w:r>
          </w:p>
        </w:tc>
        <w:tc>
          <w:tcPr>
            <w:tcW w:w="717" w:type="dxa"/>
            <w:tcMar>
              <w:top w:w="17" w:type="dxa"/>
              <w:left w:w="57" w:type="dxa"/>
              <w:bottom w:w="17" w:type="dxa"/>
              <w:right w:w="57" w:type="dxa"/>
            </w:tcMar>
            <w:vAlign w:val="center"/>
          </w:tcPr>
          <w:p w14:paraId="53B530B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07F0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0" w:hRule="atLeast"/>
          <w:jc w:val="center"/>
        </w:trPr>
        <w:tc>
          <w:tcPr>
            <w:tcW w:w="655" w:type="dxa"/>
            <w:tcMar>
              <w:top w:w="17" w:type="dxa"/>
              <w:left w:w="57" w:type="dxa"/>
              <w:bottom w:w="17" w:type="dxa"/>
              <w:right w:w="57" w:type="dxa"/>
            </w:tcMar>
            <w:vAlign w:val="center"/>
          </w:tcPr>
          <w:p w14:paraId="6847034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3C7CEF0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21E97D5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5A7976CF">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不合格食品管理和食品召回</w:t>
            </w:r>
          </w:p>
        </w:tc>
        <w:tc>
          <w:tcPr>
            <w:tcW w:w="960" w:type="dxa"/>
            <w:tcMar>
              <w:top w:w="17" w:type="dxa"/>
              <w:left w:w="57" w:type="dxa"/>
              <w:bottom w:w="17" w:type="dxa"/>
              <w:right w:w="57" w:type="dxa"/>
            </w:tcMar>
            <w:vAlign w:val="center"/>
          </w:tcPr>
          <w:p w14:paraId="6D899E8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不合格品处置</w:t>
            </w:r>
          </w:p>
        </w:tc>
        <w:tc>
          <w:tcPr>
            <w:tcW w:w="2990" w:type="dxa"/>
            <w:tcMar>
              <w:top w:w="17" w:type="dxa"/>
              <w:left w:w="57" w:type="dxa"/>
              <w:bottom w:w="17" w:type="dxa"/>
              <w:right w:w="57" w:type="dxa"/>
            </w:tcMar>
            <w:vAlign w:val="center"/>
          </w:tcPr>
          <w:p w14:paraId="4387CCC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1.不合格品同合格品混放，无明显区分。</w:t>
            </w:r>
          </w:p>
          <w:p w14:paraId="70EF797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2.不合格品未按要求处置，或不合格品充当合格品放行。</w:t>
            </w:r>
          </w:p>
          <w:p w14:paraId="6E482E8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3.未记录不合格品处置情况，处置记录不符合要求，或处置流向不清。</w:t>
            </w:r>
          </w:p>
        </w:tc>
        <w:tc>
          <w:tcPr>
            <w:tcW w:w="3587" w:type="dxa"/>
            <w:tcMar>
              <w:top w:w="17" w:type="dxa"/>
              <w:left w:w="57" w:type="dxa"/>
              <w:bottom w:w="17" w:type="dxa"/>
              <w:right w:w="57" w:type="dxa"/>
            </w:tcMar>
            <w:vAlign w:val="center"/>
          </w:tcPr>
          <w:p w14:paraId="190F3AF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1.应合理建立不合格品管理制度，不合格品应放在指定区域，明显标示，按要求及时处置。</w:t>
            </w:r>
          </w:p>
          <w:p w14:paraId="6856CE6A">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2.详细记录不合格品处置情况，应包含不合格品详细信息及处理方式等内容。</w:t>
            </w:r>
          </w:p>
        </w:tc>
        <w:tc>
          <w:tcPr>
            <w:tcW w:w="1136" w:type="dxa"/>
            <w:tcMar>
              <w:top w:w="17" w:type="dxa"/>
              <w:left w:w="57" w:type="dxa"/>
              <w:bottom w:w="17" w:type="dxa"/>
              <w:right w:w="57" w:type="dxa"/>
            </w:tcMar>
            <w:vAlign w:val="center"/>
          </w:tcPr>
          <w:p w14:paraId="75D737C0">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每日</w:t>
            </w:r>
          </w:p>
        </w:tc>
        <w:tc>
          <w:tcPr>
            <w:tcW w:w="1674" w:type="dxa"/>
            <w:tcMar>
              <w:top w:w="17" w:type="dxa"/>
              <w:left w:w="57" w:type="dxa"/>
              <w:bottom w:w="17" w:type="dxa"/>
              <w:right w:w="57" w:type="dxa"/>
            </w:tcMar>
            <w:vAlign w:val="center"/>
          </w:tcPr>
          <w:p w14:paraId="407B071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符合《保健食品生产许可审查细则》、GB 14881》、GB 17405要求</w:t>
            </w:r>
          </w:p>
        </w:tc>
        <w:tc>
          <w:tcPr>
            <w:tcW w:w="717" w:type="dxa"/>
            <w:tcMar>
              <w:top w:w="17" w:type="dxa"/>
              <w:left w:w="57" w:type="dxa"/>
              <w:bottom w:w="17" w:type="dxa"/>
              <w:right w:w="57" w:type="dxa"/>
            </w:tcMar>
            <w:vAlign w:val="center"/>
          </w:tcPr>
          <w:p w14:paraId="021D28A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p>
        </w:tc>
      </w:tr>
      <w:tr w14:paraId="41FFF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967" w:hRule="atLeast"/>
          <w:jc w:val="center"/>
        </w:trPr>
        <w:tc>
          <w:tcPr>
            <w:tcW w:w="655" w:type="dxa"/>
            <w:tcMar>
              <w:top w:w="17" w:type="dxa"/>
              <w:left w:w="57" w:type="dxa"/>
              <w:bottom w:w="17" w:type="dxa"/>
              <w:right w:w="57" w:type="dxa"/>
            </w:tcMar>
            <w:vAlign w:val="center"/>
          </w:tcPr>
          <w:p w14:paraId="4D9D568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05E3C20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DD4BEB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69BA4C6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不合格食品管理和食品召回</w:t>
            </w:r>
          </w:p>
        </w:tc>
        <w:tc>
          <w:tcPr>
            <w:tcW w:w="960" w:type="dxa"/>
            <w:tcMar>
              <w:top w:w="17" w:type="dxa"/>
              <w:left w:w="57" w:type="dxa"/>
              <w:bottom w:w="17" w:type="dxa"/>
              <w:right w:w="57" w:type="dxa"/>
            </w:tcMar>
            <w:vAlign w:val="center"/>
          </w:tcPr>
          <w:p w14:paraId="6C3F7E3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召回处理</w:t>
            </w:r>
          </w:p>
        </w:tc>
        <w:tc>
          <w:tcPr>
            <w:tcW w:w="2990" w:type="dxa"/>
            <w:tcMar>
              <w:top w:w="17" w:type="dxa"/>
              <w:left w:w="57" w:type="dxa"/>
              <w:bottom w:w="17" w:type="dxa"/>
              <w:right w:w="57" w:type="dxa"/>
            </w:tcMar>
            <w:vAlign w:val="center"/>
          </w:tcPr>
          <w:p w14:paraId="3B758327">
            <w:pPr>
              <w:keepNext w:val="0"/>
              <w:keepLines w:val="0"/>
              <w:pageBreakBefore w:val="0"/>
              <w:widowControl w:val="0"/>
              <w:kinsoku/>
              <w:wordWrap/>
              <w:overflowPunct w:val="0"/>
              <w:topLinePunct w:val="0"/>
              <w:autoSpaceDE/>
              <w:autoSpaceDN/>
              <w:bidi w:val="0"/>
              <w:adjustRightInd w:val="0"/>
              <w:snapToGrid w:val="0"/>
              <w:spacing w:line="32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1.未对不安全食品进行召回、未对召回产品进行处置，无召回记录，召回产品处置去向不明。</w:t>
            </w:r>
          </w:p>
          <w:p w14:paraId="1D3906AE">
            <w:pPr>
              <w:keepNext w:val="0"/>
              <w:keepLines w:val="0"/>
              <w:pageBreakBefore w:val="0"/>
              <w:widowControl w:val="0"/>
              <w:kinsoku/>
              <w:wordWrap/>
              <w:overflowPunct w:val="0"/>
              <w:topLinePunct w:val="0"/>
              <w:autoSpaceDE/>
              <w:autoSpaceDN/>
              <w:bidi w:val="0"/>
              <w:adjustRightInd w:val="0"/>
              <w:snapToGrid w:val="0"/>
              <w:spacing w:line="32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2.未向所在地市场监管部门报告不安全食品召回和处理情况。</w:t>
            </w:r>
          </w:p>
          <w:p w14:paraId="5959AC98">
            <w:pPr>
              <w:keepNext w:val="0"/>
              <w:keepLines w:val="0"/>
              <w:pageBreakBefore w:val="0"/>
              <w:widowControl w:val="0"/>
              <w:kinsoku/>
              <w:wordWrap/>
              <w:overflowPunct w:val="0"/>
              <w:topLinePunct w:val="0"/>
              <w:autoSpaceDE/>
              <w:autoSpaceDN/>
              <w:bidi w:val="0"/>
              <w:adjustRightInd w:val="0"/>
              <w:snapToGrid w:val="0"/>
              <w:spacing w:line="32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3.使用召回的食品作为原料进行再加工。</w:t>
            </w:r>
          </w:p>
          <w:p w14:paraId="75583722">
            <w:pPr>
              <w:keepNext w:val="0"/>
              <w:keepLines w:val="0"/>
              <w:pageBreakBefore w:val="0"/>
              <w:widowControl w:val="0"/>
              <w:kinsoku/>
              <w:wordWrap/>
              <w:overflowPunct w:val="0"/>
              <w:topLinePunct w:val="0"/>
              <w:autoSpaceDE/>
              <w:autoSpaceDN/>
              <w:bidi w:val="0"/>
              <w:adjustRightInd w:val="0"/>
              <w:snapToGrid w:val="0"/>
              <w:spacing w:line="32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4.对召回产品采取无害化处理等措施不符合要求或虚假处置，处置记录缺失或涂改、不全，处置情况与台账记录不符，对召回产品等进行藏匿、加工后再销售。</w:t>
            </w:r>
          </w:p>
        </w:tc>
        <w:tc>
          <w:tcPr>
            <w:tcW w:w="3587" w:type="dxa"/>
            <w:tcMar>
              <w:top w:w="17" w:type="dxa"/>
              <w:left w:w="57" w:type="dxa"/>
              <w:bottom w:w="17" w:type="dxa"/>
              <w:right w:w="57" w:type="dxa"/>
            </w:tcMar>
            <w:vAlign w:val="center"/>
          </w:tcPr>
          <w:p w14:paraId="6D54B6B9">
            <w:pPr>
              <w:keepNext w:val="0"/>
              <w:keepLines w:val="0"/>
              <w:pageBreakBefore w:val="0"/>
              <w:widowControl w:val="0"/>
              <w:kinsoku/>
              <w:wordWrap/>
              <w:overflowPunct w:val="0"/>
              <w:topLinePunct w:val="0"/>
              <w:autoSpaceDE/>
              <w:autoSpaceDN/>
              <w:bidi w:val="0"/>
              <w:adjustRightInd w:val="0"/>
              <w:snapToGrid w:val="0"/>
              <w:spacing w:line="29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1.建立召回管理制度，实施召回演练，演练过程应有效，对召回流程进行评估。</w:t>
            </w:r>
          </w:p>
          <w:p w14:paraId="7817A5DB">
            <w:pPr>
              <w:keepNext w:val="0"/>
              <w:keepLines w:val="0"/>
              <w:pageBreakBefore w:val="0"/>
              <w:widowControl w:val="0"/>
              <w:kinsoku/>
              <w:wordWrap/>
              <w:overflowPunct w:val="0"/>
              <w:topLinePunct w:val="0"/>
              <w:autoSpaceDE/>
              <w:autoSpaceDN/>
              <w:bidi w:val="0"/>
              <w:adjustRightInd w:val="0"/>
              <w:snapToGrid w:val="0"/>
              <w:spacing w:line="29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2.不安全食品的召回和处理应向所在地的县级以上市场监管部门报告。</w:t>
            </w:r>
          </w:p>
          <w:p w14:paraId="0321CBF2">
            <w:pPr>
              <w:keepNext w:val="0"/>
              <w:keepLines w:val="0"/>
              <w:pageBreakBefore w:val="0"/>
              <w:widowControl w:val="0"/>
              <w:kinsoku/>
              <w:wordWrap/>
              <w:overflowPunct w:val="0"/>
              <w:topLinePunct w:val="0"/>
              <w:autoSpaceDE/>
              <w:autoSpaceDN/>
              <w:bidi w:val="0"/>
              <w:adjustRightInd w:val="0"/>
              <w:snapToGrid w:val="0"/>
              <w:spacing w:line="29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3.不安全食品召回记录应包括召回计划、公告等记录，包含有通知相关生产经营者和消费者情况、向主管部门报告情况、产品的召回记录（含产品名称、商标、规格、数量、生产日期、生产批号等信息）。</w:t>
            </w:r>
          </w:p>
          <w:p w14:paraId="4A03E651">
            <w:pPr>
              <w:keepNext w:val="0"/>
              <w:keepLines w:val="0"/>
              <w:pageBreakBefore w:val="0"/>
              <w:widowControl w:val="0"/>
              <w:kinsoku/>
              <w:wordWrap/>
              <w:overflowPunct w:val="0"/>
              <w:topLinePunct w:val="0"/>
              <w:autoSpaceDE/>
              <w:autoSpaceDN/>
              <w:bidi w:val="0"/>
              <w:adjustRightInd w:val="0"/>
              <w:snapToGrid w:val="0"/>
              <w:spacing w:line="29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4.对召回的食品采取无害化处理、销毁等措施的，应有处置记录，召回记录和处理记录信息要相符。</w:t>
            </w:r>
          </w:p>
          <w:p w14:paraId="31412565">
            <w:pPr>
              <w:keepNext w:val="0"/>
              <w:keepLines w:val="0"/>
              <w:pageBreakBefore w:val="0"/>
              <w:widowControl w:val="0"/>
              <w:kinsoku/>
              <w:wordWrap/>
              <w:overflowPunct w:val="0"/>
              <w:topLinePunct w:val="0"/>
              <w:autoSpaceDE/>
              <w:autoSpaceDN/>
              <w:bidi w:val="0"/>
              <w:adjustRightInd w:val="0"/>
              <w:snapToGrid w:val="0"/>
              <w:spacing w:line="29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5.对因标签、标志或说明书不符合食品安全标准而被召回的，采取补救措施且能保证食品安全的情况下可以继续销售，销售时应明示补救措施。</w:t>
            </w:r>
          </w:p>
          <w:p w14:paraId="74643BDD">
            <w:pPr>
              <w:keepNext w:val="0"/>
              <w:keepLines w:val="0"/>
              <w:pageBreakBefore w:val="0"/>
              <w:widowControl w:val="0"/>
              <w:kinsoku/>
              <w:wordWrap/>
              <w:overflowPunct w:val="0"/>
              <w:topLinePunct w:val="0"/>
              <w:autoSpaceDE/>
              <w:autoSpaceDN/>
              <w:bidi w:val="0"/>
              <w:adjustRightInd w:val="0"/>
              <w:snapToGrid w:val="0"/>
              <w:spacing w:line="29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6.召回原因不是标签、标志或者说明书不符合食品安全标准的情况下，禁止使用召回食品作为原料用于生产各类食品，或者经过改换包装等方式以其他形式进行销售。</w:t>
            </w:r>
          </w:p>
          <w:p w14:paraId="5E705760">
            <w:pPr>
              <w:keepNext w:val="0"/>
              <w:keepLines w:val="0"/>
              <w:pageBreakBefore w:val="0"/>
              <w:widowControl w:val="0"/>
              <w:kinsoku/>
              <w:wordWrap/>
              <w:overflowPunct w:val="0"/>
              <w:topLinePunct w:val="0"/>
              <w:autoSpaceDE/>
              <w:autoSpaceDN/>
              <w:bidi w:val="0"/>
              <w:adjustRightInd w:val="0"/>
              <w:snapToGrid w:val="0"/>
              <w:spacing w:line="29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7.食品生产经营者发现不安全食品的，应当立即停止生产经营该食品。</w:t>
            </w:r>
          </w:p>
        </w:tc>
        <w:tc>
          <w:tcPr>
            <w:tcW w:w="1136" w:type="dxa"/>
            <w:tcMar>
              <w:top w:w="17" w:type="dxa"/>
              <w:left w:w="57" w:type="dxa"/>
              <w:bottom w:w="17" w:type="dxa"/>
              <w:right w:w="57" w:type="dxa"/>
            </w:tcMar>
            <w:vAlign w:val="center"/>
          </w:tcPr>
          <w:p w14:paraId="4459B19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1：每年</w:t>
            </w:r>
          </w:p>
          <w:p w14:paraId="30713C0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2-7：按实际发生</w:t>
            </w:r>
          </w:p>
        </w:tc>
        <w:tc>
          <w:tcPr>
            <w:tcW w:w="1674" w:type="dxa"/>
            <w:tcMar>
              <w:top w:w="17" w:type="dxa"/>
              <w:left w:w="57" w:type="dxa"/>
              <w:bottom w:w="17" w:type="dxa"/>
              <w:right w:w="57" w:type="dxa"/>
            </w:tcMar>
            <w:vAlign w:val="center"/>
          </w:tcPr>
          <w:p w14:paraId="699A3E0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符合《食品安全法》《食品召回管理办法》、GB 14881要求</w:t>
            </w:r>
          </w:p>
        </w:tc>
        <w:tc>
          <w:tcPr>
            <w:tcW w:w="717" w:type="dxa"/>
            <w:tcMar>
              <w:top w:w="17" w:type="dxa"/>
              <w:left w:w="57" w:type="dxa"/>
              <w:bottom w:w="17" w:type="dxa"/>
              <w:right w:w="57" w:type="dxa"/>
            </w:tcMar>
            <w:vAlign w:val="center"/>
          </w:tcPr>
          <w:p w14:paraId="582441C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14E9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20" w:hRule="atLeast"/>
          <w:jc w:val="center"/>
        </w:trPr>
        <w:tc>
          <w:tcPr>
            <w:tcW w:w="655" w:type="dxa"/>
            <w:tcMar>
              <w:top w:w="17" w:type="dxa"/>
              <w:left w:w="57" w:type="dxa"/>
              <w:bottom w:w="17" w:type="dxa"/>
              <w:right w:w="57" w:type="dxa"/>
            </w:tcMar>
            <w:vAlign w:val="center"/>
          </w:tcPr>
          <w:p w14:paraId="4E220ED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保健食品</w:t>
            </w:r>
          </w:p>
        </w:tc>
        <w:tc>
          <w:tcPr>
            <w:tcW w:w="656" w:type="dxa"/>
            <w:tcMar>
              <w:top w:w="17" w:type="dxa"/>
              <w:left w:w="57" w:type="dxa"/>
              <w:bottom w:w="17" w:type="dxa"/>
              <w:right w:w="57" w:type="dxa"/>
            </w:tcMar>
            <w:vAlign w:val="center"/>
          </w:tcPr>
          <w:p w14:paraId="5690A12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类别名称见说明</w:t>
            </w:r>
          </w:p>
        </w:tc>
        <w:tc>
          <w:tcPr>
            <w:tcW w:w="656" w:type="dxa"/>
            <w:tcMar>
              <w:top w:w="17" w:type="dxa"/>
              <w:left w:w="57" w:type="dxa"/>
              <w:bottom w:w="17" w:type="dxa"/>
              <w:right w:w="57" w:type="dxa"/>
            </w:tcMar>
            <w:vAlign w:val="center"/>
          </w:tcPr>
          <w:p w14:paraId="0F0BBAA5">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过程风险</w:t>
            </w:r>
          </w:p>
        </w:tc>
        <w:tc>
          <w:tcPr>
            <w:tcW w:w="973" w:type="dxa"/>
            <w:tcMar>
              <w:top w:w="17" w:type="dxa"/>
              <w:left w:w="57" w:type="dxa"/>
              <w:bottom w:w="17" w:type="dxa"/>
              <w:right w:w="57" w:type="dxa"/>
            </w:tcMar>
            <w:vAlign w:val="center"/>
          </w:tcPr>
          <w:p w14:paraId="2F60989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标签和说明书</w:t>
            </w:r>
          </w:p>
        </w:tc>
        <w:tc>
          <w:tcPr>
            <w:tcW w:w="960" w:type="dxa"/>
            <w:tcMar>
              <w:top w:w="17" w:type="dxa"/>
              <w:left w:w="57" w:type="dxa"/>
              <w:bottom w:w="17" w:type="dxa"/>
              <w:right w:w="57" w:type="dxa"/>
            </w:tcMar>
            <w:vAlign w:val="center"/>
          </w:tcPr>
          <w:p w14:paraId="0A6CA656">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标签和说明书合规性</w:t>
            </w:r>
          </w:p>
        </w:tc>
        <w:tc>
          <w:tcPr>
            <w:tcW w:w="2990" w:type="dxa"/>
            <w:tcMar>
              <w:top w:w="17" w:type="dxa"/>
              <w:left w:w="57" w:type="dxa"/>
              <w:bottom w:w="17" w:type="dxa"/>
              <w:right w:w="57" w:type="dxa"/>
            </w:tcMar>
            <w:vAlign w:val="center"/>
          </w:tcPr>
          <w:p w14:paraId="3C8B1082">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1.标签标识不完整、不正确、不符合法律法规和食品安全标准的规定：</w:t>
            </w:r>
          </w:p>
          <w:p w14:paraId="6B1A2FB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2.标签、说明书的内容与注册或备案的内容不一致。</w:t>
            </w:r>
          </w:p>
          <w:p w14:paraId="44DF54D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3.标签未规范标注警示用语区、投诉服务电话、服务时段。</w:t>
            </w:r>
          </w:p>
          <w:p w14:paraId="161166B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4.存在涉及疾病预防、治疗功能或未经批准保健功能的文字或图片。</w:t>
            </w:r>
          </w:p>
          <w:p w14:paraId="67136A0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5.使用辐射工艺但未标示“辐照食品”。</w:t>
            </w:r>
          </w:p>
          <w:p w14:paraId="511F190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6.标签标注的生产日期、保质期、批号等信息有误。</w:t>
            </w:r>
          </w:p>
        </w:tc>
        <w:tc>
          <w:tcPr>
            <w:tcW w:w="3587" w:type="dxa"/>
            <w:tcMar>
              <w:top w:w="17" w:type="dxa"/>
              <w:left w:w="57" w:type="dxa"/>
              <w:bottom w:w="17" w:type="dxa"/>
              <w:right w:w="57" w:type="dxa"/>
            </w:tcMar>
            <w:vAlign w:val="center"/>
          </w:tcPr>
          <w:p w14:paraId="40A849E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1.标签设计需由企业相关部门审核，按照标签审批流程进行批准或备案。</w:t>
            </w:r>
          </w:p>
          <w:p w14:paraId="0009560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2.标签来料检查，对购进的标签进行合规性检查确认。</w:t>
            </w:r>
          </w:p>
          <w:p w14:paraId="0975E6E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3.生产过程中首件确认标签生产日期、保质期、批号等信息正确，双人复核。</w:t>
            </w:r>
          </w:p>
        </w:tc>
        <w:tc>
          <w:tcPr>
            <w:tcW w:w="1136" w:type="dxa"/>
            <w:tcMar>
              <w:top w:w="17" w:type="dxa"/>
              <w:left w:w="57" w:type="dxa"/>
              <w:bottom w:w="17" w:type="dxa"/>
              <w:right w:w="57" w:type="dxa"/>
            </w:tcMar>
            <w:vAlign w:val="center"/>
          </w:tcPr>
          <w:p w14:paraId="5937DE2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1：按需</w:t>
            </w:r>
          </w:p>
          <w:p w14:paraId="4E0D54B8">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2-3：每批</w:t>
            </w:r>
          </w:p>
        </w:tc>
        <w:tc>
          <w:tcPr>
            <w:tcW w:w="1674" w:type="dxa"/>
            <w:tcMar>
              <w:top w:w="17" w:type="dxa"/>
              <w:left w:w="57" w:type="dxa"/>
              <w:bottom w:w="17" w:type="dxa"/>
              <w:right w:w="57" w:type="dxa"/>
            </w:tcMar>
            <w:vAlign w:val="center"/>
          </w:tcPr>
          <w:p w14:paraId="3A63ADA4">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符合《食品安全法》《食品安全法实施条例》《保健食品生产许可审查细则》《保健食品标注警示用语指南》、GB 7718、GB 17405等相关法律法规、标准要求、注册或备案要求</w:t>
            </w:r>
          </w:p>
        </w:tc>
        <w:tc>
          <w:tcPr>
            <w:tcW w:w="717" w:type="dxa"/>
            <w:tcMar>
              <w:top w:w="17" w:type="dxa"/>
              <w:left w:w="57" w:type="dxa"/>
              <w:bottom w:w="17" w:type="dxa"/>
              <w:right w:w="57" w:type="dxa"/>
            </w:tcMar>
            <w:vAlign w:val="center"/>
          </w:tcPr>
          <w:p w14:paraId="5DC20FF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Times New Roman" w:hAnsi="Times New Roman" w:eastAsia="仿宋_GB2312" w:cs="仿宋_GB2312"/>
                <w:color w:val="000000" w:themeColor="text1"/>
                <w:sz w:val="24"/>
                <w14:textFill>
                  <w14:solidFill>
                    <w14:schemeClr w14:val="tx1"/>
                  </w14:solidFill>
                </w14:textFill>
              </w:rPr>
            </w:pPr>
          </w:p>
        </w:tc>
      </w:tr>
      <w:tr w14:paraId="3D29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57" w:type="dxa"/>
            <w:bottom w:w="17" w:type="dxa"/>
            <w:right w:w="57" w:type="dxa"/>
          </w:tblCellMar>
        </w:tblPrEx>
        <w:trPr>
          <w:trHeight w:val="720" w:hRule="atLeast"/>
          <w:jc w:val="center"/>
        </w:trPr>
        <w:tc>
          <w:tcPr>
            <w:tcW w:w="14004" w:type="dxa"/>
            <w:gridSpan w:val="10"/>
            <w:tcMar>
              <w:top w:w="17" w:type="dxa"/>
              <w:left w:w="57" w:type="dxa"/>
              <w:bottom w:w="17" w:type="dxa"/>
              <w:right w:w="57" w:type="dxa"/>
            </w:tcMar>
            <w:vAlign w:val="center"/>
          </w:tcPr>
          <w:p w14:paraId="3B39A04B">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说明：</w:t>
            </w:r>
          </w:p>
          <w:p w14:paraId="4E8A8E0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1.本清单从生产者资质、生产环境条件、进货查验、生产过程控制、委托生产、产品检验、贮存及交付控制、不合格食品管理和食品召回、标签和说明书、食品安全自查、从业人员管理、信息记录和追溯、问题整改等13个方面，确定风险点。</w:t>
            </w:r>
          </w:p>
          <w:p w14:paraId="4A6C3DD7">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2.管控频次为每日、每班或每周的，指正常生产经营期间应于每日、每班或每周开展管控。企业停产时可根据企业实际情况动态调整风险管控清单及管控频次。企业停产时，虫鼠害管控措施应按照原管控频次继续管控。</w:t>
            </w:r>
          </w:p>
          <w:p w14:paraId="79FE894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3.本清单为保健食品企业科学识别风险、精准防控风险提供参考和指南。企业需根据自身生产实际，开展食品安全风险分析，查找确认风险点、科学制定管控措施，同时应当严格按照注册证书和备案凭证所载明的配方、生产工艺等技术要求制定符合企业实际的《食品安全风险管控清单》，把食品安全风险管理要求融入现有管理制度、嵌入日常管理，落实食品安全主体责任，严防严管严控食品安全风险，切实保证食品安全。</w:t>
            </w:r>
          </w:p>
        </w:tc>
      </w:tr>
    </w:tbl>
    <w:p w14:paraId="2E25303E"/>
    <w:p w14:paraId="0ABAC90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4.企业应基于本企业管控清单中识别的风险点建立相关管理制度要求并严格执行，将风险管控工作与质量管理体系运行有机融合，将管控要求贯穿到企业的每一个工作环节。</w:t>
      </w:r>
    </w:p>
    <w:p w14:paraId="2FC021A9">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5.企业应当结合生产经营实际，合理确定管控目标、管控频次。本清单管控频次为建议频次，仅供参考。</w:t>
      </w:r>
    </w:p>
    <w:p w14:paraId="7865D7FE">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6.企业生产的保健食品剂型包含饮料、酒、饼干、糖果、糕点等剂型的，企业建立的《食品安全风险管控清单》还应同时符合相同剂型普通食品的风险管控相关要求。</w:t>
      </w:r>
    </w:p>
    <w:p w14:paraId="7FE7BBD1">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center"/>
        <w:rPr>
          <w:rFonts w:hint="eastAsia" w:ascii="Times New Roman" w:hAnsi="Times New Roman" w:eastAsia="仿宋_GB2312" w:cs="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7.保健食品具体类别编号和类别名称：2701片剂、2702粉剂、2703颗粒剂、2704茶剂、2705硬胶囊剂、2706软胶囊剂、2707口服液、2708丸剂、2709膏剂、2710饮料、2711酒剂、2712饼干类、2713糖果类、2714糕点类、2715液体乳类、2716原料提取物、2717复配营养素、2718其他类别。</w:t>
      </w:r>
    </w:p>
    <w:p w14:paraId="10424AFA">
      <w:pPr>
        <w:pStyle w:val="3"/>
        <w:ind w:left="0" w:leftChars="0" w:firstLine="0" w:firstLineChars="0"/>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s="仿宋_GB2312"/>
          <w:color w:val="000000" w:themeColor="text1"/>
          <w:sz w:val="24"/>
          <w14:textFill>
            <w14:solidFill>
              <w14:schemeClr w14:val="tx1"/>
            </w14:solidFill>
          </w14:textFill>
        </w:rPr>
        <w:t>8.保健食品相关法律法规、规章制度或政策规定、食品安全国家标准修订或新颁布后，按新要求或标准执行。</w:t>
      </w:r>
    </w:p>
    <w:p w14:paraId="59C404CC">
      <w:pPr>
        <w:pStyle w:val="3"/>
        <w:rPr>
          <w:rFonts w:ascii="Times New Roman" w:hAnsi="Times New Roman" w:eastAsia="仿宋_GB2312"/>
          <w:color w:val="000000" w:themeColor="text1"/>
          <w:sz w:val="24"/>
          <w14:textFill>
            <w14:solidFill>
              <w14:schemeClr w14:val="tx1"/>
            </w14:solidFill>
          </w14:textFill>
        </w:rPr>
      </w:pPr>
    </w:p>
    <w:p w14:paraId="5BA2E232">
      <w:pPr>
        <w:pStyle w:val="3"/>
        <w:rPr>
          <w:rFonts w:ascii="Times New Roman" w:hAnsi="Times New Roman" w:eastAsia="仿宋_GB2312"/>
          <w:color w:val="000000" w:themeColor="text1"/>
          <w:sz w:val="24"/>
          <w14:textFill>
            <w14:solidFill>
              <w14:schemeClr w14:val="tx1"/>
            </w14:solidFill>
          </w14:textFill>
        </w:rPr>
      </w:pPr>
    </w:p>
    <w:p w14:paraId="38DDFEB1">
      <w:pPr>
        <w:pStyle w:val="3"/>
        <w:rPr>
          <w:rFonts w:ascii="Times New Roman" w:hAnsi="Times New Roman" w:eastAsia="仿宋_GB2312"/>
          <w:color w:val="000000" w:themeColor="text1"/>
          <w:sz w:val="24"/>
          <w14:textFill>
            <w14:solidFill>
              <w14:schemeClr w14:val="tx1"/>
            </w14:solidFill>
          </w14:textFill>
        </w:rPr>
      </w:pPr>
    </w:p>
    <w:p w14:paraId="655D33F3">
      <w:pPr>
        <w:pStyle w:val="3"/>
        <w:rPr>
          <w:rFonts w:ascii="Times New Roman" w:hAnsi="Times New Roman" w:eastAsia="仿宋_GB2312"/>
          <w:color w:val="000000" w:themeColor="text1"/>
          <w:sz w:val="24"/>
          <w14:textFill>
            <w14:solidFill>
              <w14:schemeClr w14:val="tx1"/>
            </w14:solidFill>
          </w14:textFill>
        </w:rPr>
      </w:pPr>
    </w:p>
    <w:p w14:paraId="51A2B203">
      <w:pPr>
        <w:pStyle w:val="3"/>
        <w:rPr>
          <w:rFonts w:ascii="Times New Roman" w:hAnsi="Times New Roman" w:eastAsia="仿宋_GB2312"/>
          <w:color w:val="000000" w:themeColor="text1"/>
          <w:sz w:val="24"/>
          <w14:textFill>
            <w14:solidFill>
              <w14:schemeClr w14:val="tx1"/>
            </w14:solidFill>
          </w14:textFill>
        </w:rPr>
      </w:pPr>
    </w:p>
    <w:p w14:paraId="63583C81">
      <w:pPr>
        <w:pStyle w:val="3"/>
        <w:rPr>
          <w:rFonts w:ascii="Times New Roman" w:hAnsi="Times New Roman" w:eastAsia="仿宋_GB2312"/>
          <w:color w:val="000000" w:themeColor="text1"/>
          <w:sz w:val="24"/>
          <w14:textFill>
            <w14:solidFill>
              <w14:schemeClr w14:val="tx1"/>
            </w14:solidFill>
          </w14:textFill>
        </w:rPr>
      </w:pPr>
    </w:p>
    <w:p w14:paraId="6758A5AC">
      <w:pPr>
        <w:pStyle w:val="3"/>
        <w:rPr>
          <w:rFonts w:ascii="Times New Roman" w:hAnsi="Times New Roman" w:eastAsia="仿宋_GB2312"/>
          <w:color w:val="000000" w:themeColor="text1"/>
          <w:sz w:val="24"/>
          <w14:textFill>
            <w14:solidFill>
              <w14:schemeClr w14:val="tx1"/>
            </w14:solidFill>
          </w14:textFill>
        </w:rPr>
      </w:pPr>
    </w:p>
    <w:p w14:paraId="37E83EFC">
      <w:pPr>
        <w:pStyle w:val="3"/>
        <w:rPr>
          <w:rFonts w:ascii="Times New Roman" w:hAnsi="Times New Roman" w:eastAsia="仿宋_GB2312"/>
          <w:color w:val="000000" w:themeColor="text1"/>
          <w:sz w:val="24"/>
          <w14:textFill>
            <w14:solidFill>
              <w14:schemeClr w14:val="tx1"/>
            </w14:solidFill>
          </w14:textFill>
        </w:rPr>
      </w:pPr>
    </w:p>
    <w:p w14:paraId="1F8D214F">
      <w:pPr>
        <w:pStyle w:val="3"/>
        <w:rPr>
          <w:rFonts w:ascii="Times New Roman" w:hAnsi="Times New Roman" w:eastAsia="仿宋_GB2312"/>
          <w:color w:val="000000" w:themeColor="text1"/>
          <w:sz w:val="24"/>
          <w14:textFill>
            <w14:solidFill>
              <w14:schemeClr w14:val="tx1"/>
            </w14:solidFill>
          </w14:textFill>
        </w:rPr>
      </w:pPr>
    </w:p>
    <w:p w14:paraId="5D8E9567">
      <w:pPr>
        <w:pStyle w:val="3"/>
        <w:rPr>
          <w:rFonts w:ascii="Times New Roman" w:hAnsi="Times New Roman" w:eastAsia="仿宋_GB2312"/>
          <w:color w:val="000000" w:themeColor="text1"/>
          <w:sz w:val="24"/>
          <w14:textFill>
            <w14:solidFill>
              <w14:schemeClr w14:val="tx1"/>
            </w14:solidFill>
          </w14:textFill>
        </w:rPr>
      </w:pPr>
    </w:p>
    <w:p w14:paraId="311EFDD2">
      <w:pPr>
        <w:pStyle w:val="3"/>
        <w:rPr>
          <w:rFonts w:ascii="Times New Roman" w:hAnsi="Times New Roman" w:eastAsia="仿宋_GB2312"/>
          <w:color w:val="000000" w:themeColor="text1"/>
          <w:sz w:val="24"/>
          <w14:textFill>
            <w14:solidFill>
              <w14:schemeClr w14:val="tx1"/>
            </w14:solidFill>
          </w14:textFill>
        </w:rPr>
      </w:pPr>
    </w:p>
    <w:p w14:paraId="264D61C9">
      <w:pPr>
        <w:pStyle w:val="3"/>
        <w:rPr>
          <w:rFonts w:ascii="Times New Roman" w:hAnsi="Times New Roman" w:eastAsia="仿宋_GB2312"/>
          <w:color w:val="000000" w:themeColor="text1"/>
          <w:sz w:val="24"/>
          <w14:textFill>
            <w14:solidFill>
              <w14:schemeClr w14:val="tx1"/>
            </w14:solidFill>
          </w14:textFill>
        </w:rPr>
      </w:pPr>
    </w:p>
    <w:p w14:paraId="5ADF9D7A">
      <w:pPr>
        <w:pStyle w:val="3"/>
        <w:rPr>
          <w:rFonts w:ascii="Times New Roman" w:hAnsi="Times New Roman" w:eastAsia="仿宋_GB2312"/>
          <w:color w:val="000000" w:themeColor="text1"/>
          <w:sz w:val="24"/>
          <w14:textFill>
            <w14:solidFill>
              <w14:schemeClr w14:val="tx1"/>
            </w14:solidFill>
          </w14:textFill>
        </w:rPr>
      </w:pPr>
    </w:p>
    <w:p w14:paraId="1410C927">
      <w:pPr>
        <w:pStyle w:val="3"/>
        <w:rPr>
          <w:rFonts w:ascii="Times New Roman" w:hAnsi="Times New Roman" w:eastAsia="仿宋_GB2312"/>
          <w:color w:val="000000" w:themeColor="text1"/>
          <w:sz w:val="24"/>
          <w14:textFill>
            <w14:solidFill>
              <w14:schemeClr w14:val="tx1"/>
            </w14:solidFill>
          </w14:textFill>
        </w:rPr>
      </w:pPr>
    </w:p>
    <w:p w14:paraId="4750A090">
      <w:pPr>
        <w:pStyle w:val="3"/>
        <w:rPr>
          <w:rFonts w:ascii="Times New Roman" w:hAnsi="Times New Roman" w:eastAsia="仿宋_GB2312"/>
          <w:color w:val="000000" w:themeColor="text1"/>
          <w:sz w:val="24"/>
          <w14:textFill>
            <w14:solidFill>
              <w14:schemeClr w14:val="tx1"/>
            </w14:solidFill>
          </w14:textFill>
        </w:rPr>
      </w:pPr>
    </w:p>
    <w:p w14:paraId="7A1DFA6A">
      <w:pPr>
        <w:pStyle w:val="3"/>
        <w:rPr>
          <w:rFonts w:ascii="Times New Roman" w:hAnsi="Times New Roman" w:eastAsia="仿宋_GB2312"/>
          <w:color w:val="000000" w:themeColor="text1"/>
          <w:sz w:val="24"/>
          <w14:textFill>
            <w14:solidFill>
              <w14:schemeClr w14:val="tx1"/>
            </w14:solidFill>
          </w14:textFill>
        </w:rPr>
      </w:pPr>
    </w:p>
    <w:p w14:paraId="3192382F">
      <w:pPr>
        <w:pStyle w:val="3"/>
        <w:rPr>
          <w:rFonts w:ascii="Times New Roman" w:hAnsi="Times New Roman" w:eastAsia="仿宋_GB2312"/>
          <w:color w:val="000000" w:themeColor="text1"/>
          <w:sz w:val="24"/>
          <w14:textFill>
            <w14:solidFill>
              <w14:schemeClr w14:val="tx1"/>
            </w14:solidFill>
          </w14:textFill>
        </w:rPr>
      </w:pPr>
    </w:p>
    <w:p w14:paraId="0B5F0958">
      <w:pPr>
        <w:pStyle w:val="7"/>
        <w:overflowPunct w:val="0"/>
        <w:topLinePunct/>
        <w:spacing w:after="0" w:line="320" w:lineRule="exact"/>
        <w:textAlignment w:val="center"/>
        <w:rPr>
          <w:rFonts w:hint="eastAsia" w:ascii="仿宋_GB2312" w:hAnsi="仿宋_GB2312" w:eastAsia="仿宋_GB2312"/>
          <w:color w:val="000000"/>
          <w:sz w:val="24"/>
        </w:rPr>
        <w:sectPr>
          <w:pgSz w:w="16838" w:h="11906" w:orient="landscape"/>
          <w:pgMar w:top="1984" w:right="1474" w:bottom="1644" w:left="1474" w:header="850" w:footer="1191" w:gutter="0"/>
          <w:pgNumType w:fmt="decimal"/>
          <w:cols w:space="720" w:num="1"/>
          <w:docGrid w:type="lines" w:linePitch="312" w:charSpace="0"/>
        </w:sectPr>
      </w:pPr>
    </w:p>
    <w:p w14:paraId="45C166C2">
      <w:pPr>
        <w:outlineLvl w:val="0"/>
        <w:rPr>
          <w:rFonts w:ascii="Times New Roman" w:hAnsi="Times New Roman" w:eastAsia="方正小标宋简体"/>
          <w:sz w:val="32"/>
          <w:szCs w:val="32"/>
        </w:rPr>
      </w:pPr>
      <w:bookmarkStart w:id="4" w:name="_Toc8834"/>
      <w:bookmarkStart w:id="5" w:name="_Toc18664"/>
      <w:bookmarkStart w:id="6" w:name="_Toc1000986653"/>
      <w:bookmarkStart w:id="7" w:name="_Toc23985"/>
      <w:bookmarkStart w:id="8" w:name="_Toc19868"/>
      <w:bookmarkStart w:id="9" w:name="_Toc23601"/>
      <w:bookmarkStart w:id="10" w:name="_Toc17593"/>
      <w:r>
        <w:rPr>
          <w:rFonts w:hint="eastAsia" w:ascii="Times New Roman" w:hAnsi="Times New Roman" w:eastAsia="方正小标宋简体"/>
          <w:sz w:val="32"/>
          <w:szCs w:val="32"/>
        </w:rPr>
        <w:t>2-8：</w:t>
      </w:r>
      <w:bookmarkEnd w:id="4"/>
      <w:bookmarkEnd w:id="5"/>
      <w:bookmarkEnd w:id="6"/>
      <w:bookmarkEnd w:id="7"/>
      <w:bookmarkEnd w:id="8"/>
      <w:bookmarkEnd w:id="9"/>
      <w:bookmarkEnd w:id="10"/>
    </w:p>
    <w:p w14:paraId="09253B81">
      <w:pPr>
        <w:spacing w:line="594" w:lineRule="exact"/>
        <w:jc w:val="center"/>
        <w:outlineLvl w:val="0"/>
        <w:rPr>
          <w:rFonts w:hint="eastAsia" w:ascii="方正小标宋简体" w:hAnsi="方正小标宋简体" w:eastAsia="方正小标宋简体" w:cs="方正小标宋简体"/>
          <w:sz w:val="44"/>
          <w:szCs w:val="44"/>
        </w:rPr>
      </w:pPr>
      <w:bookmarkStart w:id="11" w:name="_Toc2006012219"/>
      <w:bookmarkStart w:id="12" w:name="_Toc12880"/>
      <w:bookmarkStart w:id="13" w:name="_Toc15083"/>
      <w:bookmarkStart w:id="14" w:name="_Toc2313"/>
      <w:bookmarkStart w:id="15" w:name="_Toc693"/>
      <w:bookmarkStart w:id="16" w:name="_Toc1503"/>
      <w:r>
        <w:rPr>
          <w:rFonts w:hint="eastAsia" w:ascii="方正小标宋简体" w:hAnsi="方正小标宋简体" w:eastAsia="方正小标宋简体" w:cs="方正小标宋简体"/>
          <w:sz w:val="44"/>
          <w:szCs w:val="44"/>
        </w:rPr>
        <w:t>食品安全风险管控清单（食盐〔湖盐〕生产）</w:t>
      </w:r>
      <w:bookmarkEnd w:id="11"/>
      <w:bookmarkEnd w:id="12"/>
      <w:bookmarkEnd w:id="13"/>
      <w:bookmarkEnd w:id="14"/>
      <w:bookmarkEnd w:id="15"/>
      <w:bookmarkEnd w:id="16"/>
    </w:p>
    <w:p w14:paraId="2E7861BD">
      <w:pPr>
        <w:overflowPunct w:val="0"/>
        <w:topLinePunct/>
        <w:spacing w:line="320" w:lineRule="exact"/>
        <w:textAlignment w:val="center"/>
        <w:rPr>
          <w:rFonts w:ascii="仿宋_GB2312" w:eastAsia="仿宋_GB2312"/>
          <w:sz w:val="24"/>
        </w:rPr>
      </w:pPr>
    </w:p>
    <w:p w14:paraId="42E706CD">
      <w:pPr>
        <w:overflowPunct w:val="0"/>
        <w:topLinePunct/>
        <w:spacing w:line="320" w:lineRule="exact"/>
        <w:textAlignment w:val="center"/>
        <w:rPr>
          <w:rFonts w:ascii="仿宋_GB2312" w:eastAsia="仿宋_GB2312"/>
          <w:sz w:val="24"/>
        </w:rPr>
      </w:pPr>
      <w:r>
        <w:rPr>
          <w:rFonts w:hint="eastAsia" w:ascii="仿宋_GB2312" w:hAnsi="仿宋_GB2312" w:eastAsia="仿宋_GB2312" w:cs="仿宋_GB2312"/>
          <w:color w:val="000000"/>
          <w:sz w:val="24"/>
        </w:rPr>
        <w:t>说明：本清单供食品生产企业参考使用。企业可以参考本清单并结合实际开展食品安全风险分析，查找确认风险点、科学制定管控措施、合理确定管控频次并明确责任人员，建立符合本企业实际的《食品安全风险管控清单》。</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57" w:type="dxa"/>
          <w:bottom w:w="17" w:type="dxa"/>
          <w:right w:w="57" w:type="dxa"/>
        </w:tblCellMar>
      </w:tblPr>
      <w:tblGrid>
        <w:gridCol w:w="656"/>
        <w:gridCol w:w="656"/>
        <w:gridCol w:w="894"/>
        <w:gridCol w:w="894"/>
        <w:gridCol w:w="894"/>
        <w:gridCol w:w="2981"/>
        <w:gridCol w:w="3578"/>
        <w:gridCol w:w="1132"/>
        <w:gridCol w:w="1669"/>
        <w:gridCol w:w="715"/>
      </w:tblGrid>
      <w:tr w14:paraId="12F14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602" w:hRule="atLeast"/>
          <w:tblHeader/>
          <w:jc w:val="center"/>
        </w:trPr>
        <w:tc>
          <w:tcPr>
            <w:tcW w:w="624" w:type="dxa"/>
            <w:tcBorders>
              <w:tl2br w:val="nil"/>
              <w:tr2bl w:val="nil"/>
            </w:tcBorders>
            <w:tcMar>
              <w:top w:w="17" w:type="dxa"/>
              <w:left w:w="57" w:type="dxa"/>
              <w:bottom w:w="17" w:type="dxa"/>
              <w:right w:w="57" w:type="dxa"/>
            </w:tcMar>
            <w:vAlign w:val="center"/>
          </w:tcPr>
          <w:p w14:paraId="2D1E6CD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黑体" w:hAnsi="黑体" w:eastAsia="黑体" w:cs="仿宋_GB2312"/>
                <w:bCs/>
                <w:color w:val="000000"/>
                <w:kern w:val="0"/>
                <w:sz w:val="24"/>
                <w:lang w:bidi="ar"/>
              </w:rPr>
            </w:pPr>
            <w:r>
              <w:rPr>
                <w:rFonts w:hint="eastAsia" w:ascii="黑体" w:hAnsi="黑体" w:eastAsia="黑体" w:cs="仿宋_GB2312"/>
                <w:bCs/>
                <w:color w:val="000000"/>
                <w:kern w:val="0"/>
                <w:sz w:val="24"/>
                <w:lang w:bidi="ar"/>
              </w:rPr>
              <w:t>食品类别</w:t>
            </w:r>
          </w:p>
        </w:tc>
        <w:tc>
          <w:tcPr>
            <w:tcW w:w="624" w:type="dxa"/>
            <w:tcBorders>
              <w:tl2br w:val="nil"/>
              <w:tr2bl w:val="nil"/>
            </w:tcBorders>
            <w:tcMar>
              <w:top w:w="17" w:type="dxa"/>
              <w:left w:w="57" w:type="dxa"/>
              <w:bottom w:w="17" w:type="dxa"/>
              <w:right w:w="57" w:type="dxa"/>
            </w:tcMar>
            <w:vAlign w:val="center"/>
          </w:tcPr>
          <w:p w14:paraId="6323C039">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黑体" w:hAnsi="黑体" w:eastAsia="黑体" w:cs="仿宋_GB2312"/>
                <w:bCs/>
                <w:color w:val="000000"/>
                <w:kern w:val="0"/>
                <w:sz w:val="24"/>
                <w:lang w:bidi="ar"/>
              </w:rPr>
            </w:pPr>
            <w:r>
              <w:rPr>
                <w:rFonts w:hint="eastAsia" w:ascii="黑体" w:hAnsi="黑体" w:eastAsia="黑体" w:cs="仿宋_GB2312"/>
                <w:bCs/>
                <w:color w:val="000000"/>
                <w:kern w:val="0"/>
                <w:sz w:val="24"/>
                <w:lang w:bidi="ar"/>
              </w:rPr>
              <w:t>类别名称</w:t>
            </w:r>
          </w:p>
        </w:tc>
        <w:tc>
          <w:tcPr>
            <w:tcW w:w="850" w:type="dxa"/>
            <w:gridSpan w:val="2"/>
            <w:tcBorders>
              <w:tl2br w:val="nil"/>
              <w:tr2bl w:val="nil"/>
            </w:tcBorders>
            <w:tcMar>
              <w:top w:w="17" w:type="dxa"/>
              <w:left w:w="57" w:type="dxa"/>
              <w:bottom w:w="17" w:type="dxa"/>
              <w:right w:w="57" w:type="dxa"/>
            </w:tcMar>
            <w:vAlign w:val="center"/>
          </w:tcPr>
          <w:p w14:paraId="32F9B1BB">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黑体" w:hAnsi="黑体" w:eastAsia="黑体" w:cs="仿宋_GB2312"/>
                <w:bCs/>
                <w:color w:val="000000"/>
                <w:kern w:val="0"/>
                <w:sz w:val="24"/>
                <w:lang w:bidi="ar"/>
              </w:rPr>
            </w:pPr>
            <w:r>
              <w:rPr>
                <w:rFonts w:hint="eastAsia" w:ascii="黑体" w:hAnsi="黑体" w:eastAsia="黑体" w:cs="仿宋_GB2312"/>
                <w:bCs/>
                <w:color w:val="000000"/>
                <w:kern w:val="0"/>
                <w:sz w:val="24"/>
                <w:lang w:bidi="ar"/>
              </w:rPr>
              <w:t>风险控制</w:t>
            </w:r>
          </w:p>
          <w:p w14:paraId="53A9AC4F">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黑体" w:hAnsi="黑体" w:eastAsia="黑体" w:cs="仿宋_GB2312"/>
                <w:bCs/>
                <w:color w:val="000000"/>
                <w:kern w:val="0"/>
                <w:sz w:val="24"/>
                <w:lang w:bidi="ar"/>
              </w:rPr>
            </w:pPr>
            <w:r>
              <w:rPr>
                <w:rFonts w:hint="eastAsia" w:ascii="黑体" w:hAnsi="黑体" w:eastAsia="黑体" w:cs="仿宋_GB2312"/>
                <w:bCs/>
                <w:color w:val="000000"/>
                <w:kern w:val="0"/>
                <w:sz w:val="24"/>
                <w:lang w:bidi="ar"/>
              </w:rPr>
              <w:t>环节</w:t>
            </w:r>
          </w:p>
        </w:tc>
        <w:tc>
          <w:tcPr>
            <w:tcW w:w="850" w:type="dxa"/>
            <w:tcBorders>
              <w:tl2br w:val="nil"/>
              <w:tr2bl w:val="nil"/>
            </w:tcBorders>
            <w:tcMar>
              <w:top w:w="17" w:type="dxa"/>
              <w:left w:w="57" w:type="dxa"/>
              <w:bottom w:w="17" w:type="dxa"/>
              <w:right w:w="57" w:type="dxa"/>
            </w:tcMar>
            <w:vAlign w:val="center"/>
          </w:tcPr>
          <w:p w14:paraId="52C635FA">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黑体" w:hAnsi="黑体" w:eastAsia="黑体" w:cs="仿宋_GB2312"/>
                <w:bCs/>
                <w:color w:val="000000"/>
                <w:kern w:val="0"/>
                <w:sz w:val="24"/>
                <w:lang w:bidi="ar"/>
              </w:rPr>
            </w:pPr>
            <w:r>
              <w:rPr>
                <w:rFonts w:hint="eastAsia" w:ascii="黑体" w:hAnsi="黑体" w:eastAsia="黑体" w:cs="仿宋_GB2312"/>
                <w:bCs/>
                <w:color w:val="000000"/>
                <w:kern w:val="0"/>
                <w:sz w:val="24"/>
                <w:lang w:bidi="ar"/>
              </w:rPr>
              <w:t>风险点</w:t>
            </w:r>
          </w:p>
        </w:tc>
        <w:tc>
          <w:tcPr>
            <w:tcW w:w="2835" w:type="dxa"/>
            <w:tcBorders>
              <w:tl2br w:val="nil"/>
              <w:tr2bl w:val="nil"/>
            </w:tcBorders>
            <w:tcMar>
              <w:top w:w="17" w:type="dxa"/>
              <w:left w:w="57" w:type="dxa"/>
              <w:bottom w:w="17" w:type="dxa"/>
              <w:right w:w="57" w:type="dxa"/>
            </w:tcMar>
            <w:vAlign w:val="center"/>
          </w:tcPr>
          <w:p w14:paraId="6DCB3A6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黑体" w:hAnsi="黑体" w:eastAsia="黑体" w:cs="仿宋_GB2312"/>
                <w:bCs/>
                <w:color w:val="000000"/>
                <w:kern w:val="0"/>
                <w:sz w:val="24"/>
                <w:lang w:bidi="ar"/>
              </w:rPr>
            </w:pPr>
            <w:r>
              <w:rPr>
                <w:rFonts w:hint="eastAsia" w:ascii="黑体" w:hAnsi="黑体" w:eastAsia="黑体" w:cs="仿宋_GB2312"/>
                <w:bCs/>
                <w:color w:val="000000"/>
                <w:kern w:val="0"/>
                <w:sz w:val="24"/>
                <w:lang w:bidi="ar"/>
              </w:rPr>
              <w:t>风险描述</w:t>
            </w:r>
          </w:p>
        </w:tc>
        <w:tc>
          <w:tcPr>
            <w:tcW w:w="3402" w:type="dxa"/>
            <w:tcBorders>
              <w:tl2br w:val="nil"/>
              <w:tr2bl w:val="nil"/>
            </w:tcBorders>
            <w:tcMar>
              <w:top w:w="17" w:type="dxa"/>
              <w:left w:w="57" w:type="dxa"/>
              <w:bottom w:w="17" w:type="dxa"/>
              <w:right w:w="57" w:type="dxa"/>
            </w:tcMar>
            <w:vAlign w:val="center"/>
          </w:tcPr>
          <w:p w14:paraId="1EE8079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黑体" w:hAnsi="黑体" w:eastAsia="黑体" w:cs="仿宋_GB2312"/>
                <w:bCs/>
                <w:color w:val="000000"/>
                <w:kern w:val="0"/>
                <w:sz w:val="24"/>
                <w:lang w:bidi="ar"/>
              </w:rPr>
            </w:pPr>
            <w:r>
              <w:rPr>
                <w:rFonts w:hint="eastAsia" w:ascii="黑体" w:hAnsi="黑体" w:eastAsia="黑体" w:cs="仿宋_GB2312"/>
                <w:bCs/>
                <w:color w:val="000000"/>
                <w:kern w:val="0"/>
                <w:sz w:val="24"/>
                <w:lang w:bidi="ar"/>
              </w:rPr>
              <w:t>管控措施</w:t>
            </w:r>
          </w:p>
        </w:tc>
        <w:tc>
          <w:tcPr>
            <w:tcW w:w="1077" w:type="dxa"/>
            <w:tcBorders>
              <w:tl2br w:val="nil"/>
              <w:tr2bl w:val="nil"/>
            </w:tcBorders>
            <w:tcMar>
              <w:top w:w="17" w:type="dxa"/>
              <w:left w:w="57" w:type="dxa"/>
              <w:bottom w:w="17" w:type="dxa"/>
              <w:right w:w="57" w:type="dxa"/>
            </w:tcMar>
            <w:vAlign w:val="center"/>
          </w:tcPr>
          <w:p w14:paraId="1B01D654">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黑体" w:hAnsi="黑体" w:eastAsia="黑体" w:cs="仿宋_GB2312"/>
                <w:bCs/>
                <w:color w:val="000000"/>
                <w:kern w:val="0"/>
                <w:sz w:val="24"/>
                <w:lang w:bidi="ar"/>
              </w:rPr>
            </w:pPr>
            <w:r>
              <w:rPr>
                <w:rFonts w:hint="eastAsia" w:ascii="黑体" w:hAnsi="黑体" w:eastAsia="黑体" w:cs="仿宋_GB2312"/>
                <w:bCs/>
                <w:color w:val="000000"/>
                <w:kern w:val="0"/>
                <w:sz w:val="24"/>
                <w:lang w:bidi="ar"/>
              </w:rPr>
              <w:t>管控目标</w:t>
            </w:r>
          </w:p>
        </w:tc>
        <w:tc>
          <w:tcPr>
            <w:tcW w:w="1587" w:type="dxa"/>
            <w:tcBorders>
              <w:tl2br w:val="nil"/>
              <w:tr2bl w:val="nil"/>
            </w:tcBorders>
            <w:tcMar>
              <w:top w:w="17" w:type="dxa"/>
              <w:left w:w="57" w:type="dxa"/>
              <w:bottom w:w="17" w:type="dxa"/>
              <w:right w:w="57" w:type="dxa"/>
            </w:tcMar>
            <w:vAlign w:val="center"/>
          </w:tcPr>
          <w:p w14:paraId="523412B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黑体" w:hAnsi="黑体" w:eastAsia="黑体" w:cs="仿宋_GB2312"/>
                <w:bCs/>
                <w:color w:val="000000"/>
                <w:kern w:val="0"/>
                <w:sz w:val="24"/>
                <w:lang w:bidi="ar"/>
              </w:rPr>
            </w:pPr>
            <w:r>
              <w:rPr>
                <w:rFonts w:hint="eastAsia" w:ascii="黑体" w:hAnsi="黑体" w:eastAsia="黑体" w:cs="仿宋_GB2312"/>
                <w:bCs/>
                <w:color w:val="000000"/>
                <w:kern w:val="0"/>
                <w:sz w:val="24"/>
                <w:lang w:bidi="ar"/>
              </w:rPr>
              <w:t>管控频次</w:t>
            </w:r>
          </w:p>
        </w:tc>
        <w:tc>
          <w:tcPr>
            <w:tcW w:w="680" w:type="dxa"/>
            <w:tcBorders>
              <w:tl2br w:val="nil"/>
              <w:tr2bl w:val="nil"/>
            </w:tcBorders>
            <w:tcMar>
              <w:top w:w="17" w:type="dxa"/>
              <w:left w:w="57" w:type="dxa"/>
              <w:bottom w:w="17" w:type="dxa"/>
              <w:right w:w="57" w:type="dxa"/>
            </w:tcMar>
            <w:vAlign w:val="center"/>
          </w:tcPr>
          <w:p w14:paraId="07E582E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center"/>
              <w:rPr>
                <w:rFonts w:hint="eastAsia" w:ascii="黑体" w:hAnsi="黑体" w:eastAsia="黑体" w:cs="仿宋_GB2312"/>
                <w:bCs/>
                <w:color w:val="000000"/>
                <w:kern w:val="0"/>
                <w:sz w:val="24"/>
                <w:lang w:bidi="ar"/>
              </w:rPr>
            </w:pPr>
            <w:r>
              <w:rPr>
                <w:rFonts w:hint="eastAsia" w:ascii="黑体" w:hAnsi="黑体" w:eastAsia="黑体" w:cs="仿宋_GB2312"/>
                <w:bCs/>
                <w:color w:val="000000"/>
                <w:kern w:val="0"/>
                <w:sz w:val="24"/>
                <w:lang w:bidi="ar"/>
              </w:rPr>
              <w:t>责任人</w:t>
            </w:r>
          </w:p>
        </w:tc>
      </w:tr>
      <w:tr w14:paraId="33184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451" w:hRule="atLeast"/>
          <w:jc w:val="center"/>
        </w:trPr>
        <w:tc>
          <w:tcPr>
            <w:tcW w:w="624" w:type="dxa"/>
            <w:vMerge w:val="restart"/>
            <w:tcBorders>
              <w:tl2br w:val="nil"/>
              <w:tr2bl w:val="nil"/>
            </w:tcBorders>
            <w:tcMar>
              <w:top w:w="17" w:type="dxa"/>
              <w:left w:w="57" w:type="dxa"/>
              <w:bottom w:w="17" w:type="dxa"/>
              <w:right w:w="57" w:type="dxa"/>
            </w:tcMar>
            <w:vAlign w:val="center"/>
          </w:tcPr>
          <w:p w14:paraId="6D119D1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调味品</w:t>
            </w:r>
          </w:p>
        </w:tc>
        <w:tc>
          <w:tcPr>
            <w:tcW w:w="624" w:type="dxa"/>
            <w:vMerge w:val="restart"/>
            <w:tcBorders>
              <w:tl2br w:val="nil"/>
              <w:tr2bl w:val="nil"/>
            </w:tcBorders>
            <w:tcMar>
              <w:top w:w="17" w:type="dxa"/>
              <w:left w:w="57" w:type="dxa"/>
              <w:bottom w:w="17" w:type="dxa"/>
              <w:right w:w="57" w:type="dxa"/>
            </w:tcMar>
            <w:vAlign w:val="center"/>
          </w:tcPr>
          <w:p w14:paraId="7BF610C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0306</w:t>
            </w:r>
            <w:r>
              <w:rPr>
                <w:rFonts w:hint="eastAsia" w:ascii="仿宋_GB2312" w:hAnsi="仿宋_GB2312" w:eastAsia="仿宋_GB2312" w:cs="仿宋_GB2312"/>
                <w:color w:val="000000"/>
                <w:kern w:val="0"/>
                <w:sz w:val="24"/>
                <w:lang w:bidi="ar"/>
              </w:rPr>
              <w:t>食盐</w:t>
            </w:r>
          </w:p>
        </w:tc>
        <w:tc>
          <w:tcPr>
            <w:tcW w:w="850" w:type="dxa"/>
            <w:vMerge w:val="restart"/>
            <w:tcBorders>
              <w:tl2br w:val="nil"/>
              <w:tr2bl w:val="nil"/>
            </w:tcBorders>
            <w:tcMar>
              <w:top w:w="17" w:type="dxa"/>
              <w:left w:w="57" w:type="dxa"/>
              <w:bottom w:w="17" w:type="dxa"/>
              <w:right w:w="57" w:type="dxa"/>
            </w:tcMar>
            <w:vAlign w:val="center"/>
          </w:tcPr>
          <w:p w14:paraId="6A8ACFD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生产场所环境管理</w:t>
            </w:r>
          </w:p>
        </w:tc>
        <w:tc>
          <w:tcPr>
            <w:tcW w:w="850" w:type="dxa"/>
            <w:vMerge w:val="restart"/>
            <w:tcBorders>
              <w:tl2br w:val="nil"/>
              <w:tr2bl w:val="nil"/>
            </w:tcBorders>
            <w:tcMar>
              <w:top w:w="17" w:type="dxa"/>
              <w:left w:w="57" w:type="dxa"/>
              <w:bottom w:w="17" w:type="dxa"/>
              <w:right w:w="57" w:type="dxa"/>
            </w:tcMar>
            <w:vAlign w:val="center"/>
          </w:tcPr>
          <w:p w14:paraId="3AAFDAB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厂区环境管理</w:t>
            </w:r>
          </w:p>
        </w:tc>
        <w:tc>
          <w:tcPr>
            <w:tcW w:w="850" w:type="dxa"/>
            <w:tcBorders>
              <w:tl2br w:val="nil"/>
              <w:tr2bl w:val="nil"/>
            </w:tcBorders>
            <w:tcMar>
              <w:top w:w="17" w:type="dxa"/>
              <w:left w:w="57" w:type="dxa"/>
              <w:bottom w:w="17" w:type="dxa"/>
              <w:right w:w="57" w:type="dxa"/>
            </w:tcMar>
            <w:vAlign w:val="center"/>
          </w:tcPr>
          <w:p w14:paraId="18A7096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厂区物品存放</w:t>
            </w:r>
          </w:p>
        </w:tc>
        <w:tc>
          <w:tcPr>
            <w:tcW w:w="2835" w:type="dxa"/>
            <w:tcBorders>
              <w:tl2br w:val="nil"/>
              <w:tr2bl w:val="nil"/>
            </w:tcBorders>
            <w:tcMar>
              <w:top w:w="17" w:type="dxa"/>
              <w:left w:w="57" w:type="dxa"/>
              <w:bottom w:w="17" w:type="dxa"/>
              <w:right w:w="57" w:type="dxa"/>
            </w:tcMar>
            <w:vAlign w:val="center"/>
          </w:tcPr>
          <w:p w14:paraId="152B13B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杂物以及废旧设备等存在虫害孳生风险。</w:t>
            </w:r>
          </w:p>
        </w:tc>
        <w:tc>
          <w:tcPr>
            <w:tcW w:w="3402" w:type="dxa"/>
            <w:tcBorders>
              <w:tl2br w:val="nil"/>
              <w:tr2bl w:val="nil"/>
            </w:tcBorders>
            <w:tcMar>
              <w:top w:w="17" w:type="dxa"/>
              <w:left w:w="57" w:type="dxa"/>
              <w:bottom w:w="17" w:type="dxa"/>
              <w:right w:w="57" w:type="dxa"/>
            </w:tcMar>
            <w:vAlign w:val="center"/>
          </w:tcPr>
          <w:p w14:paraId="3C8B40E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厂区环境保持整洁，定期清理，避免雨后积水，降低外围虫害密度，不堆积废旧设备及杂物，并定期检查。</w:t>
            </w:r>
          </w:p>
        </w:tc>
        <w:tc>
          <w:tcPr>
            <w:tcW w:w="1077" w:type="dxa"/>
            <w:tcBorders>
              <w:tl2br w:val="nil"/>
              <w:tr2bl w:val="nil"/>
            </w:tcBorders>
            <w:tcMar>
              <w:top w:w="17" w:type="dxa"/>
              <w:left w:w="57" w:type="dxa"/>
              <w:bottom w:w="17" w:type="dxa"/>
              <w:right w:w="57" w:type="dxa"/>
            </w:tcMar>
            <w:vAlign w:val="center"/>
          </w:tcPr>
          <w:p w14:paraId="5556159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14881</w:t>
            </w:r>
            <w:r>
              <w:rPr>
                <w:rFonts w:hint="eastAsia" w:ascii="仿宋_GB2312" w:hAnsi="仿宋" w:eastAsia="仿宋_GB2312" w:cs="仿宋_GB2312"/>
                <w:color w:val="000000"/>
                <w:kern w:val="0"/>
                <w:sz w:val="24"/>
                <w:lang w:bidi="ar"/>
              </w:rPr>
              <w:t>厂区环境的要求</w:t>
            </w:r>
          </w:p>
        </w:tc>
        <w:tc>
          <w:tcPr>
            <w:tcW w:w="1587" w:type="dxa"/>
            <w:tcBorders>
              <w:tl2br w:val="nil"/>
              <w:tr2bl w:val="nil"/>
            </w:tcBorders>
            <w:tcMar>
              <w:top w:w="17" w:type="dxa"/>
              <w:left w:w="57" w:type="dxa"/>
              <w:bottom w:w="17" w:type="dxa"/>
              <w:right w:w="57" w:type="dxa"/>
            </w:tcMar>
            <w:vAlign w:val="center"/>
          </w:tcPr>
          <w:p w14:paraId="4B9B17E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厂区环境管控制度中明确管控频次，建议每周进行</w:t>
            </w:r>
          </w:p>
        </w:tc>
        <w:tc>
          <w:tcPr>
            <w:tcW w:w="680" w:type="dxa"/>
            <w:tcBorders>
              <w:tl2br w:val="nil"/>
              <w:tr2bl w:val="nil"/>
            </w:tcBorders>
            <w:tcMar>
              <w:top w:w="17" w:type="dxa"/>
              <w:left w:w="57" w:type="dxa"/>
              <w:bottom w:w="17" w:type="dxa"/>
              <w:right w:w="57" w:type="dxa"/>
            </w:tcMar>
            <w:vAlign w:val="center"/>
          </w:tcPr>
          <w:p w14:paraId="61C24D9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00C8B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2306" w:hRule="atLeast"/>
          <w:jc w:val="center"/>
        </w:trPr>
        <w:tc>
          <w:tcPr>
            <w:tcW w:w="624" w:type="dxa"/>
            <w:vMerge w:val="continue"/>
            <w:tcBorders>
              <w:tl2br w:val="nil"/>
              <w:tr2bl w:val="nil"/>
            </w:tcBorders>
            <w:tcMar>
              <w:top w:w="17" w:type="dxa"/>
              <w:left w:w="57" w:type="dxa"/>
              <w:bottom w:w="17" w:type="dxa"/>
              <w:right w:w="57" w:type="dxa"/>
            </w:tcMar>
            <w:vAlign w:val="center"/>
          </w:tcPr>
          <w:p w14:paraId="54C992A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72E3B9B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5BB780A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continue"/>
            <w:tcBorders>
              <w:tl2br w:val="nil"/>
              <w:tr2bl w:val="nil"/>
            </w:tcBorders>
            <w:tcMar>
              <w:top w:w="17" w:type="dxa"/>
              <w:left w:w="57" w:type="dxa"/>
              <w:bottom w:w="17" w:type="dxa"/>
              <w:right w:w="57" w:type="dxa"/>
            </w:tcMar>
            <w:vAlign w:val="center"/>
          </w:tcPr>
          <w:p w14:paraId="424D52A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773C380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厂区绿化</w:t>
            </w:r>
          </w:p>
        </w:tc>
        <w:tc>
          <w:tcPr>
            <w:tcW w:w="2835" w:type="dxa"/>
            <w:tcBorders>
              <w:tl2br w:val="nil"/>
              <w:tr2bl w:val="nil"/>
            </w:tcBorders>
            <w:tcMar>
              <w:top w:w="17" w:type="dxa"/>
              <w:left w:w="57" w:type="dxa"/>
              <w:bottom w:w="17" w:type="dxa"/>
              <w:right w:w="57" w:type="dxa"/>
            </w:tcMar>
            <w:vAlign w:val="center"/>
          </w:tcPr>
          <w:p w14:paraId="5F4DCBE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.厂区绿化易吸引啮齿类动物、鸟类，孳生虫害，给生产环节带入虫害风险。</w:t>
            </w:r>
          </w:p>
          <w:p w14:paraId="0A7C2EC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.厂区绿化距离车间及仓库较近，原料及产品易吸引虫害，产生虫害侵入车间或仓库的风险。</w:t>
            </w:r>
          </w:p>
        </w:tc>
        <w:tc>
          <w:tcPr>
            <w:tcW w:w="3402" w:type="dxa"/>
            <w:tcBorders>
              <w:tl2br w:val="nil"/>
              <w:tr2bl w:val="nil"/>
            </w:tcBorders>
            <w:tcMar>
              <w:top w:w="17" w:type="dxa"/>
              <w:left w:w="57" w:type="dxa"/>
              <w:bottom w:w="17" w:type="dxa"/>
              <w:right w:w="57" w:type="dxa"/>
            </w:tcMar>
            <w:vAlign w:val="center"/>
          </w:tcPr>
          <w:p w14:paraId="4C2894C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.工厂园区内绿植应选取不易产生虫害的植物品种。</w:t>
            </w:r>
          </w:p>
          <w:p w14:paraId="0536B59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.厂区绿化应与生产车间保持适当距离，植被应定期维护，防止虫害孳生。</w:t>
            </w:r>
          </w:p>
        </w:tc>
        <w:tc>
          <w:tcPr>
            <w:tcW w:w="1077" w:type="dxa"/>
            <w:tcBorders>
              <w:tl2br w:val="nil"/>
              <w:tr2bl w:val="nil"/>
            </w:tcBorders>
            <w:tcMar>
              <w:top w:w="17" w:type="dxa"/>
              <w:left w:w="57" w:type="dxa"/>
              <w:bottom w:w="17" w:type="dxa"/>
              <w:right w:w="57" w:type="dxa"/>
            </w:tcMar>
            <w:vAlign w:val="center"/>
          </w:tcPr>
          <w:p w14:paraId="4B5313E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14881</w:t>
            </w:r>
            <w:r>
              <w:rPr>
                <w:rFonts w:hint="eastAsia" w:ascii="仿宋_GB2312" w:hAnsi="仿宋" w:eastAsia="仿宋_GB2312" w:cs="仿宋_GB2312"/>
                <w:color w:val="000000"/>
                <w:kern w:val="0"/>
                <w:sz w:val="24"/>
                <w:lang w:bidi="ar"/>
              </w:rPr>
              <w:t>厂区环境的要求</w:t>
            </w:r>
          </w:p>
        </w:tc>
        <w:tc>
          <w:tcPr>
            <w:tcW w:w="1587" w:type="dxa"/>
            <w:tcBorders>
              <w:tl2br w:val="nil"/>
              <w:tr2bl w:val="nil"/>
            </w:tcBorders>
            <w:tcMar>
              <w:top w:w="17" w:type="dxa"/>
              <w:left w:w="57" w:type="dxa"/>
              <w:bottom w:w="17" w:type="dxa"/>
              <w:right w:w="57" w:type="dxa"/>
            </w:tcMar>
            <w:vAlign w:val="center"/>
          </w:tcPr>
          <w:p w14:paraId="157A458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厂区环境管控制度中明确管控频次，建议根据季节确定频次</w:t>
            </w:r>
          </w:p>
        </w:tc>
        <w:tc>
          <w:tcPr>
            <w:tcW w:w="680" w:type="dxa"/>
            <w:tcBorders>
              <w:tl2br w:val="nil"/>
              <w:tr2bl w:val="nil"/>
            </w:tcBorders>
            <w:tcMar>
              <w:top w:w="17" w:type="dxa"/>
              <w:left w:w="57" w:type="dxa"/>
              <w:bottom w:w="17" w:type="dxa"/>
              <w:right w:w="57" w:type="dxa"/>
            </w:tcMar>
            <w:vAlign w:val="center"/>
          </w:tcPr>
          <w:p w14:paraId="678C563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486BD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467" w:hRule="atLeast"/>
          <w:jc w:val="center"/>
        </w:trPr>
        <w:tc>
          <w:tcPr>
            <w:tcW w:w="624" w:type="dxa"/>
            <w:vMerge w:val="continue"/>
            <w:tcBorders>
              <w:tl2br w:val="nil"/>
              <w:tr2bl w:val="nil"/>
            </w:tcBorders>
            <w:tcMar>
              <w:top w:w="17" w:type="dxa"/>
              <w:left w:w="57" w:type="dxa"/>
              <w:bottom w:w="17" w:type="dxa"/>
              <w:right w:w="57" w:type="dxa"/>
            </w:tcMar>
            <w:vAlign w:val="center"/>
          </w:tcPr>
          <w:p w14:paraId="49B5529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3211A29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7F2B80A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continue"/>
            <w:tcBorders>
              <w:tl2br w:val="nil"/>
              <w:tr2bl w:val="nil"/>
            </w:tcBorders>
            <w:tcMar>
              <w:top w:w="17" w:type="dxa"/>
              <w:left w:w="57" w:type="dxa"/>
              <w:bottom w:w="17" w:type="dxa"/>
              <w:right w:w="57" w:type="dxa"/>
            </w:tcMar>
            <w:vAlign w:val="center"/>
          </w:tcPr>
          <w:p w14:paraId="23EA236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067ED4E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厂区垃圾</w:t>
            </w:r>
          </w:p>
        </w:tc>
        <w:tc>
          <w:tcPr>
            <w:tcW w:w="2835" w:type="dxa"/>
            <w:tcBorders>
              <w:tl2br w:val="nil"/>
              <w:tr2bl w:val="nil"/>
            </w:tcBorders>
            <w:tcMar>
              <w:top w:w="17" w:type="dxa"/>
              <w:left w:w="57" w:type="dxa"/>
              <w:bottom w:w="17" w:type="dxa"/>
              <w:right w:w="57" w:type="dxa"/>
            </w:tcMar>
            <w:vAlign w:val="center"/>
          </w:tcPr>
          <w:p w14:paraId="24E5CAD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厂内垃圾清理不彻底、不及时，造成虫害孳生。</w:t>
            </w:r>
          </w:p>
        </w:tc>
        <w:tc>
          <w:tcPr>
            <w:tcW w:w="3402" w:type="dxa"/>
            <w:tcBorders>
              <w:tl2br w:val="nil"/>
              <w:tr2bl w:val="nil"/>
            </w:tcBorders>
            <w:tcMar>
              <w:top w:w="17" w:type="dxa"/>
              <w:left w:w="57" w:type="dxa"/>
              <w:bottom w:w="17" w:type="dxa"/>
              <w:right w:w="57" w:type="dxa"/>
            </w:tcMar>
            <w:vAlign w:val="center"/>
          </w:tcPr>
          <w:p w14:paraId="47EE6F7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建立生产和生活垃圾的运输、暂存、清除实施管理措施并有效执行。</w:t>
            </w:r>
          </w:p>
        </w:tc>
        <w:tc>
          <w:tcPr>
            <w:tcW w:w="1077" w:type="dxa"/>
            <w:tcBorders>
              <w:tl2br w:val="nil"/>
              <w:tr2bl w:val="nil"/>
            </w:tcBorders>
            <w:tcMar>
              <w:top w:w="17" w:type="dxa"/>
              <w:left w:w="57" w:type="dxa"/>
              <w:bottom w:w="17" w:type="dxa"/>
              <w:right w:w="57" w:type="dxa"/>
            </w:tcMar>
            <w:vAlign w:val="center"/>
          </w:tcPr>
          <w:p w14:paraId="1B5EA06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符合企业厂区内外环境管理要求</w:t>
            </w:r>
          </w:p>
        </w:tc>
        <w:tc>
          <w:tcPr>
            <w:tcW w:w="1587" w:type="dxa"/>
            <w:tcBorders>
              <w:tl2br w:val="nil"/>
              <w:tr2bl w:val="nil"/>
            </w:tcBorders>
            <w:tcMar>
              <w:top w:w="17" w:type="dxa"/>
              <w:left w:w="57" w:type="dxa"/>
              <w:bottom w:w="17" w:type="dxa"/>
              <w:right w:w="57" w:type="dxa"/>
            </w:tcMar>
            <w:vAlign w:val="center"/>
          </w:tcPr>
          <w:p w14:paraId="6D64025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厂区环境管控制度中明确管控频次，建议每日进行</w:t>
            </w:r>
          </w:p>
        </w:tc>
        <w:tc>
          <w:tcPr>
            <w:tcW w:w="680" w:type="dxa"/>
            <w:tcBorders>
              <w:tl2br w:val="nil"/>
              <w:tr2bl w:val="nil"/>
            </w:tcBorders>
            <w:tcMar>
              <w:top w:w="17" w:type="dxa"/>
              <w:left w:w="57" w:type="dxa"/>
              <w:bottom w:w="17" w:type="dxa"/>
              <w:right w:w="57" w:type="dxa"/>
            </w:tcMar>
            <w:vAlign w:val="center"/>
          </w:tcPr>
          <w:p w14:paraId="500E16B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4B461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945" w:hRule="atLeast"/>
          <w:jc w:val="center"/>
        </w:trPr>
        <w:tc>
          <w:tcPr>
            <w:tcW w:w="624" w:type="dxa"/>
            <w:vMerge w:val="continue"/>
            <w:tcBorders>
              <w:tl2br w:val="nil"/>
              <w:tr2bl w:val="nil"/>
            </w:tcBorders>
            <w:tcMar>
              <w:top w:w="17" w:type="dxa"/>
              <w:left w:w="57" w:type="dxa"/>
              <w:bottom w:w="17" w:type="dxa"/>
              <w:right w:w="57" w:type="dxa"/>
            </w:tcMar>
            <w:vAlign w:val="center"/>
          </w:tcPr>
          <w:p w14:paraId="7CDB1A8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3492A4B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0CF6EF3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14:paraId="2AFEA13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车间内部环境管理</w:t>
            </w:r>
          </w:p>
        </w:tc>
        <w:tc>
          <w:tcPr>
            <w:tcW w:w="850" w:type="dxa"/>
            <w:tcBorders>
              <w:tl2br w:val="nil"/>
              <w:tr2bl w:val="nil"/>
            </w:tcBorders>
            <w:tcMar>
              <w:top w:w="17" w:type="dxa"/>
              <w:left w:w="57" w:type="dxa"/>
              <w:bottom w:w="17" w:type="dxa"/>
              <w:right w:w="57" w:type="dxa"/>
            </w:tcMar>
            <w:vAlign w:val="center"/>
          </w:tcPr>
          <w:p w14:paraId="3BAA870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车间地面墙面设计、施工及清洁卫生</w:t>
            </w:r>
          </w:p>
        </w:tc>
        <w:tc>
          <w:tcPr>
            <w:tcW w:w="2835" w:type="dxa"/>
            <w:tcBorders>
              <w:tl2br w:val="nil"/>
              <w:tr2bl w:val="nil"/>
            </w:tcBorders>
            <w:tcMar>
              <w:top w:w="17" w:type="dxa"/>
              <w:left w:w="57" w:type="dxa"/>
              <w:bottom w:w="17" w:type="dxa"/>
              <w:right w:w="57" w:type="dxa"/>
            </w:tcMar>
            <w:vAlign w:val="center"/>
          </w:tcPr>
          <w:p w14:paraId="663E5E9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地面不平整、排水系统设计不合理，生产过程中或清洗后出现积水。</w:t>
            </w:r>
          </w:p>
        </w:tc>
        <w:tc>
          <w:tcPr>
            <w:tcW w:w="3402" w:type="dxa"/>
            <w:tcBorders>
              <w:tl2br w:val="nil"/>
              <w:tr2bl w:val="nil"/>
            </w:tcBorders>
            <w:tcMar>
              <w:top w:w="17" w:type="dxa"/>
              <w:left w:w="57" w:type="dxa"/>
              <w:bottom w:w="17" w:type="dxa"/>
              <w:right w:w="57" w:type="dxa"/>
            </w:tcMar>
            <w:vAlign w:val="center"/>
          </w:tcPr>
          <w:p w14:paraId="1690E0E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.根据清洁度要求采用不同频次进行定期清洁。</w:t>
            </w:r>
          </w:p>
          <w:p w14:paraId="255909B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.门窗、墙壁、顶棚、地面及施工缝隙密闭，清洁作业区的窗户宜与内墙面齐平，避免平台积尘。</w:t>
            </w:r>
          </w:p>
        </w:tc>
        <w:tc>
          <w:tcPr>
            <w:tcW w:w="1077" w:type="dxa"/>
            <w:tcBorders>
              <w:tl2br w:val="nil"/>
              <w:tr2bl w:val="nil"/>
            </w:tcBorders>
            <w:tcMar>
              <w:top w:w="17" w:type="dxa"/>
              <w:left w:w="57" w:type="dxa"/>
              <w:bottom w:w="17" w:type="dxa"/>
              <w:right w:w="57" w:type="dxa"/>
            </w:tcMar>
            <w:vAlign w:val="center"/>
          </w:tcPr>
          <w:p w14:paraId="1FC7016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符合企业内部环境管理要求</w:t>
            </w:r>
          </w:p>
        </w:tc>
        <w:tc>
          <w:tcPr>
            <w:tcW w:w="1587" w:type="dxa"/>
            <w:tcBorders>
              <w:tl2br w:val="nil"/>
              <w:tr2bl w:val="nil"/>
            </w:tcBorders>
            <w:tcMar>
              <w:top w:w="17" w:type="dxa"/>
              <w:left w:w="57" w:type="dxa"/>
              <w:bottom w:w="17" w:type="dxa"/>
              <w:right w:w="57" w:type="dxa"/>
            </w:tcMar>
            <w:vAlign w:val="center"/>
          </w:tcPr>
          <w:p w14:paraId="58FF3E7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车间内部环境管控制度中明确地面清洁频次，建议每日或每班次进行</w:t>
            </w:r>
          </w:p>
        </w:tc>
        <w:tc>
          <w:tcPr>
            <w:tcW w:w="680" w:type="dxa"/>
            <w:tcBorders>
              <w:tl2br w:val="nil"/>
              <w:tr2bl w:val="nil"/>
            </w:tcBorders>
            <w:tcMar>
              <w:top w:w="17" w:type="dxa"/>
              <w:left w:w="57" w:type="dxa"/>
              <w:bottom w:w="17" w:type="dxa"/>
              <w:right w:w="57" w:type="dxa"/>
            </w:tcMar>
            <w:vAlign w:val="center"/>
          </w:tcPr>
          <w:p w14:paraId="18FE8BE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0E414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315" w:hRule="atLeast"/>
          <w:jc w:val="center"/>
        </w:trPr>
        <w:tc>
          <w:tcPr>
            <w:tcW w:w="624" w:type="dxa"/>
            <w:vMerge w:val="continue"/>
            <w:tcBorders>
              <w:tl2br w:val="nil"/>
              <w:tr2bl w:val="nil"/>
            </w:tcBorders>
            <w:tcMar>
              <w:top w:w="17" w:type="dxa"/>
              <w:left w:w="57" w:type="dxa"/>
              <w:bottom w:w="17" w:type="dxa"/>
              <w:right w:w="57" w:type="dxa"/>
            </w:tcMar>
            <w:vAlign w:val="center"/>
          </w:tcPr>
          <w:p w14:paraId="25EC2EF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24F4B01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1696A9A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continue"/>
            <w:tcBorders>
              <w:tl2br w:val="nil"/>
              <w:tr2bl w:val="nil"/>
            </w:tcBorders>
            <w:tcMar>
              <w:top w:w="17" w:type="dxa"/>
              <w:left w:w="57" w:type="dxa"/>
              <w:bottom w:w="17" w:type="dxa"/>
              <w:right w:w="57" w:type="dxa"/>
            </w:tcMar>
            <w:vAlign w:val="center"/>
          </w:tcPr>
          <w:p w14:paraId="0F77E87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4F4EE59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车间地面、墙面、屋顶破损</w:t>
            </w:r>
          </w:p>
        </w:tc>
        <w:tc>
          <w:tcPr>
            <w:tcW w:w="2835" w:type="dxa"/>
            <w:tcBorders>
              <w:tl2br w:val="nil"/>
              <w:tr2bl w:val="nil"/>
            </w:tcBorders>
            <w:tcMar>
              <w:top w:w="17" w:type="dxa"/>
              <w:left w:w="57" w:type="dxa"/>
              <w:bottom w:w="17" w:type="dxa"/>
              <w:right w:w="57" w:type="dxa"/>
            </w:tcMar>
            <w:vAlign w:val="center"/>
          </w:tcPr>
          <w:p w14:paraId="4C1A170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破损处不易清洁，容易孳生微生物，破损易掉落造成异物污染。</w:t>
            </w:r>
          </w:p>
        </w:tc>
        <w:tc>
          <w:tcPr>
            <w:tcW w:w="3402" w:type="dxa"/>
            <w:tcBorders>
              <w:tl2br w:val="nil"/>
              <w:tr2bl w:val="nil"/>
            </w:tcBorders>
            <w:tcMar>
              <w:top w:w="17" w:type="dxa"/>
              <w:left w:w="57" w:type="dxa"/>
              <w:bottom w:w="17" w:type="dxa"/>
              <w:right w:w="57" w:type="dxa"/>
            </w:tcMar>
            <w:vAlign w:val="center"/>
          </w:tcPr>
          <w:p w14:paraId="5FAE34B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车间破损地面、墙面、屋顶应及时修补。</w:t>
            </w:r>
          </w:p>
        </w:tc>
        <w:tc>
          <w:tcPr>
            <w:tcW w:w="1077" w:type="dxa"/>
            <w:tcBorders>
              <w:tl2br w:val="nil"/>
              <w:tr2bl w:val="nil"/>
            </w:tcBorders>
            <w:tcMar>
              <w:top w:w="17" w:type="dxa"/>
              <w:left w:w="57" w:type="dxa"/>
              <w:bottom w:w="17" w:type="dxa"/>
              <w:right w:w="57" w:type="dxa"/>
            </w:tcMar>
            <w:vAlign w:val="center"/>
          </w:tcPr>
          <w:p w14:paraId="4F9A597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符合企业内部管理要求</w:t>
            </w:r>
          </w:p>
        </w:tc>
        <w:tc>
          <w:tcPr>
            <w:tcW w:w="1587" w:type="dxa"/>
            <w:tcBorders>
              <w:tl2br w:val="nil"/>
              <w:tr2bl w:val="nil"/>
            </w:tcBorders>
            <w:tcMar>
              <w:top w:w="17" w:type="dxa"/>
              <w:left w:w="57" w:type="dxa"/>
              <w:bottom w:w="17" w:type="dxa"/>
              <w:right w:w="57" w:type="dxa"/>
            </w:tcMar>
            <w:vAlign w:val="center"/>
          </w:tcPr>
          <w:p w14:paraId="5E7B379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车间内部环境管控制度中明确管控频次，建议每月进行</w:t>
            </w:r>
          </w:p>
        </w:tc>
        <w:tc>
          <w:tcPr>
            <w:tcW w:w="680" w:type="dxa"/>
            <w:tcBorders>
              <w:tl2br w:val="nil"/>
              <w:tr2bl w:val="nil"/>
            </w:tcBorders>
            <w:tcMar>
              <w:top w:w="17" w:type="dxa"/>
              <w:left w:w="57" w:type="dxa"/>
              <w:bottom w:w="17" w:type="dxa"/>
              <w:right w:w="57" w:type="dxa"/>
            </w:tcMar>
            <w:vAlign w:val="center"/>
          </w:tcPr>
          <w:p w14:paraId="27D8F39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429DA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690" w:hRule="atLeast"/>
          <w:jc w:val="center"/>
        </w:trPr>
        <w:tc>
          <w:tcPr>
            <w:tcW w:w="624" w:type="dxa"/>
            <w:vMerge w:val="continue"/>
            <w:tcBorders>
              <w:tl2br w:val="nil"/>
              <w:tr2bl w:val="nil"/>
            </w:tcBorders>
            <w:tcMar>
              <w:top w:w="17" w:type="dxa"/>
              <w:left w:w="57" w:type="dxa"/>
              <w:bottom w:w="17" w:type="dxa"/>
              <w:right w:w="57" w:type="dxa"/>
            </w:tcMar>
            <w:vAlign w:val="center"/>
          </w:tcPr>
          <w:p w14:paraId="460A5F0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177712D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7B6A352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continue"/>
            <w:tcBorders>
              <w:tl2br w:val="nil"/>
              <w:tr2bl w:val="nil"/>
            </w:tcBorders>
            <w:tcMar>
              <w:top w:w="17" w:type="dxa"/>
              <w:left w:w="57" w:type="dxa"/>
              <w:bottom w:w="17" w:type="dxa"/>
              <w:right w:w="57" w:type="dxa"/>
            </w:tcMar>
            <w:vAlign w:val="center"/>
          </w:tcPr>
          <w:p w14:paraId="50287A3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221B578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车间环境不洁</w:t>
            </w:r>
          </w:p>
        </w:tc>
        <w:tc>
          <w:tcPr>
            <w:tcW w:w="2835" w:type="dxa"/>
            <w:tcBorders>
              <w:tl2br w:val="nil"/>
              <w:tr2bl w:val="nil"/>
            </w:tcBorders>
            <w:tcMar>
              <w:top w:w="17" w:type="dxa"/>
              <w:left w:w="57" w:type="dxa"/>
              <w:bottom w:w="17" w:type="dxa"/>
              <w:right w:w="57" w:type="dxa"/>
            </w:tcMar>
            <w:vAlign w:val="center"/>
          </w:tcPr>
          <w:p w14:paraId="154E72A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地面和设备设施有大量粉尘积累和滞留物料。地面存在积存污水现象。</w:t>
            </w:r>
          </w:p>
        </w:tc>
        <w:tc>
          <w:tcPr>
            <w:tcW w:w="3402" w:type="dxa"/>
            <w:tcBorders>
              <w:tl2br w:val="nil"/>
              <w:tr2bl w:val="nil"/>
            </w:tcBorders>
            <w:tcMar>
              <w:top w:w="17" w:type="dxa"/>
              <w:left w:w="57" w:type="dxa"/>
              <w:bottom w:w="17" w:type="dxa"/>
              <w:right w:w="57" w:type="dxa"/>
            </w:tcMar>
            <w:vAlign w:val="center"/>
          </w:tcPr>
          <w:p w14:paraId="29131D5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每班或每天生产结束后应对地面和设备设施积存的粉尘和滞留物料进行及时清理。</w:t>
            </w:r>
          </w:p>
        </w:tc>
        <w:tc>
          <w:tcPr>
            <w:tcW w:w="1077" w:type="dxa"/>
            <w:tcBorders>
              <w:tl2br w:val="nil"/>
              <w:tr2bl w:val="nil"/>
            </w:tcBorders>
            <w:tcMar>
              <w:top w:w="17" w:type="dxa"/>
              <w:left w:w="57" w:type="dxa"/>
              <w:bottom w:w="17" w:type="dxa"/>
              <w:right w:w="57" w:type="dxa"/>
            </w:tcMar>
            <w:vAlign w:val="center"/>
          </w:tcPr>
          <w:p w14:paraId="6C2E9F3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符合企业内部环境管理要求</w:t>
            </w:r>
          </w:p>
        </w:tc>
        <w:tc>
          <w:tcPr>
            <w:tcW w:w="1587" w:type="dxa"/>
            <w:tcBorders>
              <w:tl2br w:val="nil"/>
              <w:tr2bl w:val="nil"/>
            </w:tcBorders>
            <w:tcMar>
              <w:top w:w="17" w:type="dxa"/>
              <w:left w:w="57" w:type="dxa"/>
              <w:bottom w:w="17" w:type="dxa"/>
              <w:right w:w="57" w:type="dxa"/>
            </w:tcMar>
            <w:vAlign w:val="center"/>
          </w:tcPr>
          <w:p w14:paraId="368FA43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车间内部环境管控制度中明确管控频次，建议每日/每班次进行</w:t>
            </w:r>
          </w:p>
        </w:tc>
        <w:tc>
          <w:tcPr>
            <w:tcW w:w="680" w:type="dxa"/>
            <w:tcBorders>
              <w:tl2br w:val="nil"/>
              <w:tr2bl w:val="nil"/>
            </w:tcBorders>
            <w:tcMar>
              <w:top w:w="17" w:type="dxa"/>
              <w:left w:w="57" w:type="dxa"/>
              <w:bottom w:w="17" w:type="dxa"/>
              <w:right w:w="57" w:type="dxa"/>
            </w:tcMar>
            <w:vAlign w:val="center"/>
          </w:tcPr>
          <w:p w14:paraId="68C451B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1C8D8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2079" w:hRule="atLeast"/>
          <w:jc w:val="center"/>
        </w:trPr>
        <w:tc>
          <w:tcPr>
            <w:tcW w:w="624" w:type="dxa"/>
            <w:vMerge w:val="continue"/>
            <w:tcBorders>
              <w:tl2br w:val="nil"/>
              <w:tr2bl w:val="nil"/>
            </w:tcBorders>
            <w:tcMar>
              <w:top w:w="17" w:type="dxa"/>
              <w:left w:w="57" w:type="dxa"/>
              <w:bottom w:w="17" w:type="dxa"/>
              <w:right w:w="57" w:type="dxa"/>
            </w:tcMar>
            <w:vAlign w:val="center"/>
          </w:tcPr>
          <w:p w14:paraId="040FC66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757C128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45E4CD3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continue"/>
            <w:tcBorders>
              <w:tl2br w:val="nil"/>
              <w:tr2bl w:val="nil"/>
            </w:tcBorders>
            <w:tcMar>
              <w:top w:w="17" w:type="dxa"/>
              <w:left w:w="57" w:type="dxa"/>
              <w:bottom w:w="17" w:type="dxa"/>
              <w:right w:w="57" w:type="dxa"/>
            </w:tcMar>
            <w:vAlign w:val="center"/>
          </w:tcPr>
          <w:p w14:paraId="6122FA3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408F092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温度、湿度管控</w:t>
            </w:r>
          </w:p>
        </w:tc>
        <w:tc>
          <w:tcPr>
            <w:tcW w:w="2835" w:type="dxa"/>
            <w:tcBorders>
              <w:tl2br w:val="nil"/>
              <w:tr2bl w:val="nil"/>
            </w:tcBorders>
            <w:tcMar>
              <w:top w:w="17" w:type="dxa"/>
              <w:left w:w="57" w:type="dxa"/>
              <w:bottom w:w="17" w:type="dxa"/>
              <w:right w:w="57" w:type="dxa"/>
            </w:tcMar>
            <w:vAlign w:val="center"/>
          </w:tcPr>
          <w:p w14:paraId="090CE08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有要求的区域，未配备适宜的控制设施以及用于监控的设施，导致不能达到企业内部标准要求。</w:t>
            </w:r>
          </w:p>
        </w:tc>
        <w:tc>
          <w:tcPr>
            <w:tcW w:w="3402" w:type="dxa"/>
            <w:tcBorders>
              <w:tl2br w:val="nil"/>
              <w:tr2bl w:val="nil"/>
            </w:tcBorders>
            <w:tcMar>
              <w:top w:w="17" w:type="dxa"/>
              <w:left w:w="57" w:type="dxa"/>
              <w:bottom w:w="17" w:type="dxa"/>
              <w:right w:w="57" w:type="dxa"/>
            </w:tcMar>
            <w:vAlign w:val="center"/>
          </w:tcPr>
          <w:p w14:paraId="6A5563F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.根据食品生产的特点，配备适宜的控制设施以及用于监控的设施。</w:t>
            </w:r>
          </w:p>
          <w:p w14:paraId="15AB90E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.定期校准控制设施以及用于监控的设施。</w:t>
            </w:r>
          </w:p>
        </w:tc>
        <w:tc>
          <w:tcPr>
            <w:tcW w:w="1077" w:type="dxa"/>
            <w:tcBorders>
              <w:tl2br w:val="nil"/>
              <w:tr2bl w:val="nil"/>
            </w:tcBorders>
            <w:tcMar>
              <w:top w:w="17" w:type="dxa"/>
              <w:left w:w="57" w:type="dxa"/>
              <w:bottom w:w="17" w:type="dxa"/>
              <w:right w:w="57" w:type="dxa"/>
            </w:tcMar>
            <w:vAlign w:val="center"/>
          </w:tcPr>
          <w:p w14:paraId="317981E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符合企业内部要求</w:t>
            </w:r>
          </w:p>
        </w:tc>
        <w:tc>
          <w:tcPr>
            <w:tcW w:w="1587" w:type="dxa"/>
            <w:tcBorders>
              <w:tl2br w:val="nil"/>
              <w:tr2bl w:val="nil"/>
            </w:tcBorders>
            <w:tcMar>
              <w:top w:w="17" w:type="dxa"/>
              <w:left w:w="57" w:type="dxa"/>
              <w:bottom w:w="17" w:type="dxa"/>
              <w:right w:w="57" w:type="dxa"/>
            </w:tcMar>
            <w:vAlign w:val="center"/>
          </w:tcPr>
          <w:p w14:paraId="68ADF4D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车间内部环境管控制度中明确管控频次，建议每日进行</w:t>
            </w:r>
          </w:p>
        </w:tc>
        <w:tc>
          <w:tcPr>
            <w:tcW w:w="680" w:type="dxa"/>
            <w:tcBorders>
              <w:tl2br w:val="nil"/>
              <w:tr2bl w:val="nil"/>
            </w:tcBorders>
            <w:tcMar>
              <w:top w:w="17" w:type="dxa"/>
              <w:left w:w="57" w:type="dxa"/>
              <w:bottom w:w="17" w:type="dxa"/>
              <w:right w:w="57" w:type="dxa"/>
            </w:tcMar>
            <w:vAlign w:val="center"/>
          </w:tcPr>
          <w:p w14:paraId="62D97B2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46174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2366" w:hRule="atLeast"/>
          <w:jc w:val="center"/>
        </w:trPr>
        <w:tc>
          <w:tcPr>
            <w:tcW w:w="624" w:type="dxa"/>
            <w:vMerge w:val="continue"/>
            <w:tcBorders>
              <w:tl2br w:val="nil"/>
              <w:tr2bl w:val="nil"/>
            </w:tcBorders>
            <w:tcMar>
              <w:top w:w="17" w:type="dxa"/>
              <w:left w:w="57" w:type="dxa"/>
              <w:bottom w:w="17" w:type="dxa"/>
              <w:right w:w="57" w:type="dxa"/>
            </w:tcMar>
            <w:vAlign w:val="center"/>
          </w:tcPr>
          <w:p w14:paraId="49965F8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1EADABA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0191E2C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14:paraId="20DDB55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辅助设施管理</w:t>
            </w:r>
          </w:p>
        </w:tc>
        <w:tc>
          <w:tcPr>
            <w:tcW w:w="850" w:type="dxa"/>
            <w:tcBorders>
              <w:tl2br w:val="nil"/>
              <w:tr2bl w:val="nil"/>
            </w:tcBorders>
            <w:tcMar>
              <w:top w:w="17" w:type="dxa"/>
              <w:left w:w="57" w:type="dxa"/>
              <w:bottom w:w="17" w:type="dxa"/>
              <w:right w:w="57" w:type="dxa"/>
            </w:tcMar>
            <w:vAlign w:val="center"/>
          </w:tcPr>
          <w:p w14:paraId="4E93CED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个人卫生设施</w:t>
            </w:r>
          </w:p>
        </w:tc>
        <w:tc>
          <w:tcPr>
            <w:tcW w:w="2835" w:type="dxa"/>
            <w:tcBorders>
              <w:tl2br w:val="nil"/>
              <w:tr2bl w:val="nil"/>
            </w:tcBorders>
            <w:tcMar>
              <w:top w:w="17" w:type="dxa"/>
              <w:left w:w="57" w:type="dxa"/>
              <w:bottom w:w="17" w:type="dxa"/>
              <w:right w:w="57" w:type="dxa"/>
            </w:tcMar>
            <w:vAlign w:val="center"/>
          </w:tcPr>
          <w:p w14:paraId="7014727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.个人卫生设施设计不合理，数量不足导致微生物污染食品。</w:t>
            </w:r>
          </w:p>
          <w:p w14:paraId="572D6E9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.卫生间设置不合理，清洁不到位，有交叉污染的风险。</w:t>
            </w:r>
          </w:p>
        </w:tc>
        <w:tc>
          <w:tcPr>
            <w:tcW w:w="3402" w:type="dxa"/>
            <w:tcBorders>
              <w:tl2br w:val="nil"/>
              <w:tr2bl w:val="nil"/>
            </w:tcBorders>
            <w:tcMar>
              <w:top w:w="17" w:type="dxa"/>
              <w:left w:w="57" w:type="dxa"/>
              <w:bottom w:w="17" w:type="dxa"/>
              <w:right w:w="57" w:type="dxa"/>
            </w:tcMar>
            <w:vAlign w:val="center"/>
          </w:tcPr>
          <w:p w14:paraId="373A42B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.根据需要设置卫生间，卫生间的结构、设施与内部材质应易于保持清洁。卫生间内的适当位置应设置洗手设施。</w:t>
            </w:r>
          </w:p>
          <w:p w14:paraId="766E3DE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.卫生间不得与食品生产、包装或贮存等区域直接连通，不得对生产区域产生影响。</w:t>
            </w:r>
          </w:p>
        </w:tc>
        <w:tc>
          <w:tcPr>
            <w:tcW w:w="1077" w:type="dxa"/>
            <w:tcBorders>
              <w:tl2br w:val="nil"/>
              <w:tr2bl w:val="nil"/>
            </w:tcBorders>
            <w:tcMar>
              <w:top w:w="17" w:type="dxa"/>
              <w:left w:w="57" w:type="dxa"/>
              <w:bottom w:w="17" w:type="dxa"/>
              <w:right w:w="57" w:type="dxa"/>
            </w:tcMar>
            <w:vAlign w:val="center"/>
          </w:tcPr>
          <w:p w14:paraId="4C44C8A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14881</w:t>
            </w:r>
            <w:r>
              <w:rPr>
                <w:rFonts w:hint="eastAsia" w:ascii="仿宋_GB2312" w:hAnsi="仿宋" w:eastAsia="仿宋_GB2312" w:cs="仿宋_GB2312"/>
                <w:color w:val="000000"/>
                <w:kern w:val="0"/>
                <w:sz w:val="24"/>
                <w:lang w:bidi="ar"/>
              </w:rPr>
              <w:t>个人卫生设施要求</w:t>
            </w:r>
          </w:p>
        </w:tc>
        <w:tc>
          <w:tcPr>
            <w:tcW w:w="1587" w:type="dxa"/>
            <w:tcBorders>
              <w:tl2br w:val="nil"/>
              <w:tr2bl w:val="nil"/>
            </w:tcBorders>
            <w:tcMar>
              <w:top w:w="17" w:type="dxa"/>
              <w:left w:w="57" w:type="dxa"/>
              <w:bottom w:w="17" w:type="dxa"/>
              <w:right w:w="57" w:type="dxa"/>
            </w:tcMar>
            <w:vAlign w:val="center"/>
          </w:tcPr>
          <w:p w14:paraId="526AC92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设施设备管控制度中明确卫生间管控要求，建议每日清洁并检查</w:t>
            </w:r>
          </w:p>
        </w:tc>
        <w:tc>
          <w:tcPr>
            <w:tcW w:w="680" w:type="dxa"/>
            <w:tcBorders>
              <w:tl2br w:val="nil"/>
              <w:tr2bl w:val="nil"/>
            </w:tcBorders>
            <w:tcMar>
              <w:top w:w="17" w:type="dxa"/>
              <w:left w:w="57" w:type="dxa"/>
              <w:bottom w:w="17" w:type="dxa"/>
              <w:right w:w="57" w:type="dxa"/>
            </w:tcMar>
            <w:vAlign w:val="center"/>
          </w:tcPr>
          <w:p w14:paraId="6C919D9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26D21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2627" w:hRule="atLeast"/>
          <w:jc w:val="center"/>
        </w:trPr>
        <w:tc>
          <w:tcPr>
            <w:tcW w:w="624" w:type="dxa"/>
            <w:vMerge w:val="continue"/>
            <w:tcBorders>
              <w:tl2br w:val="nil"/>
              <w:tr2bl w:val="nil"/>
            </w:tcBorders>
            <w:tcMar>
              <w:top w:w="17" w:type="dxa"/>
              <w:left w:w="57" w:type="dxa"/>
              <w:bottom w:w="17" w:type="dxa"/>
              <w:right w:w="57" w:type="dxa"/>
            </w:tcMar>
            <w:vAlign w:val="center"/>
          </w:tcPr>
          <w:p w14:paraId="75D3E93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09DE023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712F3CE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continue"/>
            <w:tcBorders>
              <w:tl2br w:val="nil"/>
              <w:tr2bl w:val="nil"/>
            </w:tcBorders>
            <w:tcMar>
              <w:top w:w="17" w:type="dxa"/>
              <w:left w:w="57" w:type="dxa"/>
              <w:bottom w:w="17" w:type="dxa"/>
              <w:right w:w="57" w:type="dxa"/>
            </w:tcMar>
            <w:vAlign w:val="center"/>
          </w:tcPr>
          <w:p w14:paraId="7BD0E73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38EA655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供水设施</w:t>
            </w:r>
          </w:p>
        </w:tc>
        <w:tc>
          <w:tcPr>
            <w:tcW w:w="2835" w:type="dxa"/>
            <w:tcBorders>
              <w:tl2br w:val="nil"/>
              <w:tr2bl w:val="nil"/>
            </w:tcBorders>
            <w:tcMar>
              <w:top w:w="17" w:type="dxa"/>
              <w:left w:w="57" w:type="dxa"/>
              <w:bottom w:w="17" w:type="dxa"/>
              <w:right w:w="57" w:type="dxa"/>
            </w:tcMar>
            <w:vAlign w:val="center"/>
          </w:tcPr>
          <w:p w14:paraId="74178BA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水处理管理不到位，导致清洗用水不能有效清洁设备，食品加工用水不符合规定，污染食品。</w:t>
            </w:r>
          </w:p>
        </w:tc>
        <w:tc>
          <w:tcPr>
            <w:tcW w:w="3402" w:type="dxa"/>
            <w:tcBorders>
              <w:tl2br w:val="nil"/>
              <w:tr2bl w:val="nil"/>
            </w:tcBorders>
            <w:tcMar>
              <w:top w:w="17" w:type="dxa"/>
              <w:left w:w="57" w:type="dxa"/>
              <w:bottom w:w="17" w:type="dxa"/>
              <w:right w:w="57" w:type="dxa"/>
            </w:tcMar>
            <w:vAlign w:val="center"/>
          </w:tcPr>
          <w:p w14:paraId="677AB77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.多介质过滤器、活性炭过滤器、精密过滤器、超滤系统等定期清洗更换。</w:t>
            </w:r>
          </w:p>
          <w:p w14:paraId="2C25729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.当涉及到以上过滤器时，对储水罐进行清洗及效果验证，蓄水池每半年清理。</w:t>
            </w:r>
          </w:p>
          <w:p w14:paraId="1745833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_GB2312" w:hAnsi="仿宋" w:eastAsia="仿宋_GB2312" w:cs="仿宋_GB2312"/>
                <w:color w:val="000000"/>
                <w:kern w:val="0"/>
                <w:sz w:val="24"/>
                <w:lang w:bidi="ar"/>
              </w:rPr>
              <w:t>.水质每年送检。</w:t>
            </w:r>
          </w:p>
        </w:tc>
        <w:tc>
          <w:tcPr>
            <w:tcW w:w="1077" w:type="dxa"/>
            <w:tcBorders>
              <w:tl2br w:val="nil"/>
              <w:tr2bl w:val="nil"/>
            </w:tcBorders>
            <w:tcMar>
              <w:top w:w="17" w:type="dxa"/>
              <w:left w:w="57" w:type="dxa"/>
              <w:bottom w:w="17" w:type="dxa"/>
              <w:right w:w="57" w:type="dxa"/>
            </w:tcMar>
            <w:vAlign w:val="center"/>
          </w:tcPr>
          <w:p w14:paraId="0837805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14881</w:t>
            </w:r>
            <w:r>
              <w:rPr>
                <w:rFonts w:hint="eastAsia" w:ascii="仿宋_GB2312" w:hAnsi="仿宋" w:eastAsia="仿宋_GB2312" w:cs="仿宋_GB2312"/>
                <w:color w:val="000000"/>
                <w:kern w:val="0"/>
                <w:sz w:val="24"/>
                <w:lang w:bidi="ar"/>
              </w:rPr>
              <w:t>供水设施要求，生产用水符合</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5749</w:t>
            </w:r>
            <w:r>
              <w:rPr>
                <w:rFonts w:hint="eastAsia" w:ascii="仿宋_GB2312" w:hAnsi="仿宋" w:eastAsia="仿宋_GB2312" w:cs="仿宋_GB2312"/>
                <w:color w:val="000000"/>
                <w:kern w:val="0"/>
                <w:sz w:val="24"/>
                <w:lang w:bidi="ar"/>
              </w:rPr>
              <w:t>的要求</w:t>
            </w:r>
          </w:p>
        </w:tc>
        <w:tc>
          <w:tcPr>
            <w:tcW w:w="1587" w:type="dxa"/>
            <w:tcBorders>
              <w:tl2br w:val="nil"/>
              <w:tr2bl w:val="nil"/>
            </w:tcBorders>
            <w:tcMar>
              <w:top w:w="17" w:type="dxa"/>
              <w:left w:w="57" w:type="dxa"/>
              <w:bottom w:w="17" w:type="dxa"/>
              <w:right w:w="57" w:type="dxa"/>
            </w:tcMar>
            <w:vAlign w:val="center"/>
          </w:tcPr>
          <w:p w14:paraId="7766B61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设备维护保养制度中明确设备维保频次，建议每日/半年/每年进行</w:t>
            </w:r>
          </w:p>
        </w:tc>
        <w:tc>
          <w:tcPr>
            <w:tcW w:w="680" w:type="dxa"/>
            <w:tcBorders>
              <w:tl2br w:val="nil"/>
              <w:tr2bl w:val="nil"/>
            </w:tcBorders>
            <w:tcMar>
              <w:top w:w="17" w:type="dxa"/>
              <w:left w:w="57" w:type="dxa"/>
              <w:bottom w:w="17" w:type="dxa"/>
              <w:right w:w="57" w:type="dxa"/>
            </w:tcMar>
            <w:vAlign w:val="center"/>
          </w:tcPr>
          <w:p w14:paraId="273AD3D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046FF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2142" w:hRule="atLeast"/>
          <w:jc w:val="center"/>
        </w:trPr>
        <w:tc>
          <w:tcPr>
            <w:tcW w:w="624" w:type="dxa"/>
            <w:vMerge w:val="continue"/>
            <w:tcBorders>
              <w:tl2br w:val="nil"/>
              <w:tr2bl w:val="nil"/>
            </w:tcBorders>
            <w:tcMar>
              <w:top w:w="17" w:type="dxa"/>
              <w:left w:w="57" w:type="dxa"/>
              <w:bottom w:w="17" w:type="dxa"/>
              <w:right w:w="57" w:type="dxa"/>
            </w:tcMar>
            <w:vAlign w:val="center"/>
          </w:tcPr>
          <w:p w14:paraId="593BD9F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7F64FCD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44BE79A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continue"/>
            <w:tcBorders>
              <w:tl2br w:val="nil"/>
              <w:tr2bl w:val="nil"/>
            </w:tcBorders>
            <w:tcMar>
              <w:top w:w="17" w:type="dxa"/>
              <w:left w:w="57" w:type="dxa"/>
              <w:bottom w:w="17" w:type="dxa"/>
              <w:right w:w="57" w:type="dxa"/>
            </w:tcMar>
            <w:vAlign w:val="center"/>
          </w:tcPr>
          <w:p w14:paraId="618CF95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032F693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排水设施</w:t>
            </w:r>
          </w:p>
        </w:tc>
        <w:tc>
          <w:tcPr>
            <w:tcW w:w="2835" w:type="dxa"/>
            <w:tcBorders>
              <w:tl2br w:val="nil"/>
              <w:tr2bl w:val="nil"/>
            </w:tcBorders>
            <w:tcMar>
              <w:top w:w="17" w:type="dxa"/>
              <w:left w:w="57" w:type="dxa"/>
              <w:bottom w:w="17" w:type="dxa"/>
              <w:right w:w="57" w:type="dxa"/>
            </w:tcMar>
            <w:vAlign w:val="center"/>
          </w:tcPr>
          <w:p w14:paraId="5473C73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排水设施破损，排水不畅。</w:t>
            </w:r>
          </w:p>
        </w:tc>
        <w:tc>
          <w:tcPr>
            <w:tcW w:w="3402" w:type="dxa"/>
            <w:tcBorders>
              <w:tl2br w:val="nil"/>
              <w:tr2bl w:val="nil"/>
            </w:tcBorders>
            <w:tcMar>
              <w:top w:w="17" w:type="dxa"/>
              <w:left w:w="57" w:type="dxa"/>
              <w:bottom w:w="17" w:type="dxa"/>
              <w:right w:w="57" w:type="dxa"/>
            </w:tcMar>
            <w:vAlign w:val="center"/>
          </w:tcPr>
          <w:p w14:paraId="10C4856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.定期对排水设备进行维护和保养。</w:t>
            </w:r>
          </w:p>
          <w:p w14:paraId="0C819C9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.排水系统入口安装带水封的地漏等装置。</w:t>
            </w:r>
          </w:p>
          <w:p w14:paraId="0E32CBF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_GB2312" w:hAnsi="仿宋" w:eastAsia="仿宋_GB2312" w:cs="仿宋_GB2312"/>
                <w:color w:val="000000"/>
                <w:kern w:val="0"/>
                <w:sz w:val="24"/>
                <w:lang w:bidi="ar"/>
              </w:rPr>
              <w:t>.排水系统出口有适当措施降低虫害风险。</w:t>
            </w:r>
          </w:p>
        </w:tc>
        <w:tc>
          <w:tcPr>
            <w:tcW w:w="1077" w:type="dxa"/>
            <w:tcBorders>
              <w:tl2br w:val="nil"/>
              <w:tr2bl w:val="nil"/>
            </w:tcBorders>
            <w:tcMar>
              <w:top w:w="17" w:type="dxa"/>
              <w:left w:w="57" w:type="dxa"/>
              <w:bottom w:w="17" w:type="dxa"/>
              <w:right w:w="57" w:type="dxa"/>
            </w:tcMar>
            <w:vAlign w:val="center"/>
          </w:tcPr>
          <w:p w14:paraId="214A659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14881</w:t>
            </w:r>
            <w:r>
              <w:rPr>
                <w:rFonts w:hint="eastAsia" w:ascii="仿宋_GB2312" w:hAnsi="仿宋" w:eastAsia="仿宋_GB2312" w:cs="仿宋_GB2312"/>
                <w:color w:val="000000"/>
                <w:kern w:val="0"/>
                <w:sz w:val="24"/>
                <w:lang w:bidi="ar"/>
              </w:rPr>
              <w:t>排水设施要求</w:t>
            </w:r>
          </w:p>
        </w:tc>
        <w:tc>
          <w:tcPr>
            <w:tcW w:w="1587" w:type="dxa"/>
            <w:tcBorders>
              <w:tl2br w:val="nil"/>
              <w:tr2bl w:val="nil"/>
            </w:tcBorders>
            <w:tcMar>
              <w:top w:w="17" w:type="dxa"/>
              <w:left w:w="57" w:type="dxa"/>
              <w:bottom w:w="17" w:type="dxa"/>
              <w:right w:w="57" w:type="dxa"/>
            </w:tcMar>
            <w:vAlign w:val="center"/>
          </w:tcPr>
          <w:p w14:paraId="030E4DC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设备维护保养制度中明确设备维保频次，建议每日进行</w:t>
            </w:r>
          </w:p>
        </w:tc>
        <w:tc>
          <w:tcPr>
            <w:tcW w:w="680" w:type="dxa"/>
            <w:tcBorders>
              <w:tl2br w:val="nil"/>
              <w:tr2bl w:val="nil"/>
            </w:tcBorders>
            <w:tcMar>
              <w:top w:w="17" w:type="dxa"/>
              <w:left w:w="57" w:type="dxa"/>
              <w:bottom w:w="17" w:type="dxa"/>
              <w:right w:w="57" w:type="dxa"/>
            </w:tcMar>
            <w:vAlign w:val="center"/>
          </w:tcPr>
          <w:p w14:paraId="405784B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758DB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700" w:hRule="atLeast"/>
          <w:jc w:val="center"/>
        </w:trPr>
        <w:tc>
          <w:tcPr>
            <w:tcW w:w="624" w:type="dxa"/>
            <w:vMerge w:val="continue"/>
            <w:tcBorders>
              <w:tl2br w:val="nil"/>
              <w:tr2bl w:val="nil"/>
            </w:tcBorders>
            <w:tcMar>
              <w:top w:w="17" w:type="dxa"/>
              <w:left w:w="57" w:type="dxa"/>
              <w:bottom w:w="17" w:type="dxa"/>
              <w:right w:w="57" w:type="dxa"/>
            </w:tcMar>
            <w:vAlign w:val="center"/>
          </w:tcPr>
          <w:p w14:paraId="4EC835A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5CAD794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5CD8159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continue"/>
            <w:tcBorders>
              <w:tl2br w:val="nil"/>
              <w:tr2bl w:val="nil"/>
            </w:tcBorders>
            <w:tcMar>
              <w:top w:w="17" w:type="dxa"/>
              <w:left w:w="57" w:type="dxa"/>
              <w:bottom w:w="17" w:type="dxa"/>
              <w:right w:w="57" w:type="dxa"/>
            </w:tcMar>
            <w:vAlign w:val="center"/>
          </w:tcPr>
          <w:p w14:paraId="69AAA10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521E2B9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废弃物存放设施</w:t>
            </w:r>
          </w:p>
        </w:tc>
        <w:tc>
          <w:tcPr>
            <w:tcW w:w="2835" w:type="dxa"/>
            <w:tcBorders>
              <w:tl2br w:val="nil"/>
              <w:tr2bl w:val="nil"/>
            </w:tcBorders>
            <w:tcMar>
              <w:top w:w="17" w:type="dxa"/>
              <w:left w:w="57" w:type="dxa"/>
              <w:bottom w:w="17" w:type="dxa"/>
              <w:right w:w="57" w:type="dxa"/>
            </w:tcMar>
            <w:vAlign w:val="center"/>
          </w:tcPr>
          <w:p w14:paraId="076F162F">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.废弃物存放设施配备不足。</w:t>
            </w:r>
          </w:p>
          <w:p w14:paraId="0FA332B8">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.废弃物存放设施未专区存放或标识不到位，存在误用的风险。</w:t>
            </w:r>
          </w:p>
        </w:tc>
        <w:tc>
          <w:tcPr>
            <w:tcW w:w="3402" w:type="dxa"/>
            <w:tcBorders>
              <w:tl2br w:val="nil"/>
              <w:tr2bl w:val="nil"/>
            </w:tcBorders>
            <w:tcMar>
              <w:top w:w="17" w:type="dxa"/>
              <w:left w:w="57" w:type="dxa"/>
              <w:bottom w:w="17" w:type="dxa"/>
              <w:right w:w="57" w:type="dxa"/>
            </w:tcMar>
            <w:vAlign w:val="center"/>
          </w:tcPr>
          <w:p w14:paraId="5AAD47C6">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.配备设计合理、防止渗漏、易于清洁的废弃物专用存放设施。</w:t>
            </w:r>
          </w:p>
          <w:p w14:paraId="24BA706A">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.车间内存放废弃物的设施和容器应标识清晰。</w:t>
            </w:r>
          </w:p>
          <w:p w14:paraId="249CB4C3">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_GB2312" w:hAnsi="仿宋" w:eastAsia="仿宋_GB2312" w:cs="仿宋_GB2312"/>
                <w:color w:val="000000"/>
                <w:kern w:val="0"/>
                <w:sz w:val="24"/>
                <w:lang w:bidi="ar"/>
              </w:rPr>
              <w:t>.必要时应在适当地点设置废弃物临时存放设施，并依废弃物特性分类存放。</w:t>
            </w:r>
          </w:p>
        </w:tc>
        <w:tc>
          <w:tcPr>
            <w:tcW w:w="1077" w:type="dxa"/>
            <w:tcBorders>
              <w:tl2br w:val="nil"/>
              <w:tr2bl w:val="nil"/>
            </w:tcBorders>
            <w:tcMar>
              <w:top w:w="17" w:type="dxa"/>
              <w:left w:w="57" w:type="dxa"/>
              <w:bottom w:w="17" w:type="dxa"/>
              <w:right w:w="57" w:type="dxa"/>
            </w:tcMar>
            <w:vAlign w:val="center"/>
          </w:tcPr>
          <w:p w14:paraId="2899A42F">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14881</w:t>
            </w:r>
            <w:r>
              <w:rPr>
                <w:rFonts w:hint="eastAsia" w:ascii="仿宋_GB2312" w:hAnsi="仿宋" w:eastAsia="仿宋_GB2312" w:cs="仿宋_GB2312"/>
                <w:color w:val="000000"/>
                <w:kern w:val="0"/>
                <w:sz w:val="24"/>
                <w:lang w:bidi="ar"/>
              </w:rPr>
              <w:t>废弃物存放设施要求</w:t>
            </w:r>
          </w:p>
        </w:tc>
        <w:tc>
          <w:tcPr>
            <w:tcW w:w="1587" w:type="dxa"/>
            <w:tcBorders>
              <w:tl2br w:val="nil"/>
              <w:tr2bl w:val="nil"/>
            </w:tcBorders>
            <w:tcMar>
              <w:top w:w="17" w:type="dxa"/>
              <w:left w:w="57" w:type="dxa"/>
              <w:bottom w:w="17" w:type="dxa"/>
              <w:right w:w="57" w:type="dxa"/>
            </w:tcMar>
            <w:vAlign w:val="center"/>
          </w:tcPr>
          <w:p w14:paraId="2E22B4E8">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设施设备管控制度中明确废弃物存放设施管控频次，建议每日检查</w:t>
            </w:r>
          </w:p>
        </w:tc>
        <w:tc>
          <w:tcPr>
            <w:tcW w:w="680" w:type="dxa"/>
            <w:tcBorders>
              <w:tl2br w:val="nil"/>
              <w:tr2bl w:val="nil"/>
            </w:tcBorders>
            <w:tcMar>
              <w:top w:w="17" w:type="dxa"/>
              <w:left w:w="57" w:type="dxa"/>
              <w:bottom w:w="17" w:type="dxa"/>
              <w:right w:w="57" w:type="dxa"/>
            </w:tcMar>
            <w:vAlign w:val="center"/>
          </w:tcPr>
          <w:p w14:paraId="5E3A231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712A3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020" w:hRule="atLeast"/>
          <w:jc w:val="center"/>
        </w:trPr>
        <w:tc>
          <w:tcPr>
            <w:tcW w:w="624" w:type="dxa"/>
            <w:vMerge w:val="continue"/>
            <w:tcBorders>
              <w:tl2br w:val="nil"/>
              <w:tr2bl w:val="nil"/>
            </w:tcBorders>
            <w:tcMar>
              <w:top w:w="17" w:type="dxa"/>
              <w:left w:w="57" w:type="dxa"/>
              <w:bottom w:w="17" w:type="dxa"/>
              <w:right w:w="57" w:type="dxa"/>
            </w:tcMar>
            <w:vAlign w:val="center"/>
          </w:tcPr>
          <w:p w14:paraId="7306DCD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396B83D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1554BCD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3CDBC8B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计量管理</w:t>
            </w:r>
          </w:p>
        </w:tc>
        <w:tc>
          <w:tcPr>
            <w:tcW w:w="850" w:type="dxa"/>
            <w:tcBorders>
              <w:tl2br w:val="nil"/>
              <w:tr2bl w:val="nil"/>
            </w:tcBorders>
            <w:tcMar>
              <w:top w:w="17" w:type="dxa"/>
              <w:left w:w="57" w:type="dxa"/>
              <w:bottom w:w="17" w:type="dxa"/>
              <w:right w:w="57" w:type="dxa"/>
            </w:tcMar>
            <w:vAlign w:val="center"/>
          </w:tcPr>
          <w:p w14:paraId="3EFCC32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计量设备的计量管理</w:t>
            </w:r>
          </w:p>
        </w:tc>
        <w:tc>
          <w:tcPr>
            <w:tcW w:w="2835" w:type="dxa"/>
            <w:tcBorders>
              <w:tl2br w:val="nil"/>
              <w:tr2bl w:val="nil"/>
            </w:tcBorders>
            <w:tcMar>
              <w:top w:w="17" w:type="dxa"/>
              <w:left w:w="57" w:type="dxa"/>
              <w:bottom w:w="17" w:type="dxa"/>
              <w:right w:w="57" w:type="dxa"/>
            </w:tcMar>
            <w:vAlign w:val="center"/>
          </w:tcPr>
          <w:p w14:paraId="19F190DF">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计量器具未进行有效检定或校准。</w:t>
            </w:r>
          </w:p>
        </w:tc>
        <w:tc>
          <w:tcPr>
            <w:tcW w:w="3402" w:type="dxa"/>
            <w:tcBorders>
              <w:tl2br w:val="nil"/>
              <w:tr2bl w:val="nil"/>
            </w:tcBorders>
            <w:tcMar>
              <w:top w:w="17" w:type="dxa"/>
              <w:left w:w="57" w:type="dxa"/>
              <w:bottom w:w="17" w:type="dxa"/>
              <w:right w:w="57" w:type="dxa"/>
            </w:tcMar>
            <w:vAlign w:val="center"/>
          </w:tcPr>
          <w:p w14:paraId="4E924AE3">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车间流速、压力、天平等设备应定期外部检定或校准和内部校准。</w:t>
            </w:r>
          </w:p>
        </w:tc>
        <w:tc>
          <w:tcPr>
            <w:tcW w:w="1077" w:type="dxa"/>
            <w:tcBorders>
              <w:tl2br w:val="nil"/>
              <w:tr2bl w:val="nil"/>
            </w:tcBorders>
            <w:tcMar>
              <w:top w:w="17" w:type="dxa"/>
              <w:left w:w="57" w:type="dxa"/>
              <w:bottom w:w="17" w:type="dxa"/>
              <w:right w:w="57" w:type="dxa"/>
            </w:tcMar>
            <w:vAlign w:val="center"/>
          </w:tcPr>
          <w:p w14:paraId="44B1A281">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符合计量法和企业内部管理要求</w:t>
            </w:r>
          </w:p>
        </w:tc>
        <w:tc>
          <w:tcPr>
            <w:tcW w:w="1587" w:type="dxa"/>
            <w:tcBorders>
              <w:tl2br w:val="nil"/>
              <w:tr2bl w:val="nil"/>
            </w:tcBorders>
            <w:tcMar>
              <w:top w:w="17" w:type="dxa"/>
              <w:left w:w="57" w:type="dxa"/>
              <w:bottom w:w="17" w:type="dxa"/>
              <w:right w:w="57" w:type="dxa"/>
            </w:tcMar>
            <w:vAlign w:val="center"/>
          </w:tcPr>
          <w:p w14:paraId="7A7768B8">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计量设备管理制度中明确检定/校准频次，建议每年外部检定或校准</w:t>
            </w:r>
          </w:p>
        </w:tc>
        <w:tc>
          <w:tcPr>
            <w:tcW w:w="680" w:type="dxa"/>
            <w:tcBorders>
              <w:tl2br w:val="nil"/>
              <w:tr2bl w:val="nil"/>
            </w:tcBorders>
            <w:tcMar>
              <w:top w:w="17" w:type="dxa"/>
              <w:left w:w="57" w:type="dxa"/>
              <w:bottom w:w="17" w:type="dxa"/>
              <w:right w:w="57" w:type="dxa"/>
            </w:tcMar>
            <w:vAlign w:val="center"/>
          </w:tcPr>
          <w:p w14:paraId="5ADEF57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2F371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680" w:hRule="atLeast"/>
          <w:jc w:val="center"/>
        </w:trPr>
        <w:tc>
          <w:tcPr>
            <w:tcW w:w="624" w:type="dxa"/>
            <w:vMerge w:val="continue"/>
            <w:tcBorders>
              <w:tl2br w:val="nil"/>
              <w:tr2bl w:val="nil"/>
            </w:tcBorders>
            <w:tcMar>
              <w:top w:w="17" w:type="dxa"/>
              <w:left w:w="57" w:type="dxa"/>
              <w:bottom w:w="17" w:type="dxa"/>
              <w:right w:w="57" w:type="dxa"/>
            </w:tcMar>
            <w:vAlign w:val="center"/>
          </w:tcPr>
          <w:p w14:paraId="270CE52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7F4EAF5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6C9548E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1E93A12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设备管理</w:t>
            </w:r>
          </w:p>
        </w:tc>
        <w:tc>
          <w:tcPr>
            <w:tcW w:w="850" w:type="dxa"/>
            <w:tcBorders>
              <w:tl2br w:val="nil"/>
              <w:tr2bl w:val="nil"/>
            </w:tcBorders>
            <w:tcMar>
              <w:top w:w="17" w:type="dxa"/>
              <w:left w:w="57" w:type="dxa"/>
              <w:bottom w:w="17" w:type="dxa"/>
              <w:right w:w="57" w:type="dxa"/>
            </w:tcMar>
            <w:vAlign w:val="center"/>
          </w:tcPr>
          <w:p w14:paraId="4D5EB5B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设备的维护保养</w:t>
            </w:r>
          </w:p>
        </w:tc>
        <w:tc>
          <w:tcPr>
            <w:tcW w:w="2835" w:type="dxa"/>
            <w:tcBorders>
              <w:tl2br w:val="nil"/>
              <w:tr2bl w:val="nil"/>
            </w:tcBorders>
            <w:tcMar>
              <w:top w:w="17" w:type="dxa"/>
              <w:left w:w="57" w:type="dxa"/>
              <w:bottom w:w="17" w:type="dxa"/>
              <w:right w:w="57" w:type="dxa"/>
            </w:tcMar>
            <w:vAlign w:val="center"/>
          </w:tcPr>
          <w:p w14:paraId="0E0B6219">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.无维保计划，设备超负荷工作导致设备故障，影响产品质量。</w:t>
            </w:r>
          </w:p>
          <w:p w14:paraId="1C1A9877">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.未按照维保计划开展维保，导致设备运转过程存在故障，影响产品质量。</w:t>
            </w:r>
          </w:p>
        </w:tc>
        <w:tc>
          <w:tcPr>
            <w:tcW w:w="3402" w:type="dxa"/>
            <w:tcBorders>
              <w:tl2br w:val="nil"/>
              <w:tr2bl w:val="nil"/>
            </w:tcBorders>
            <w:tcMar>
              <w:top w:w="17" w:type="dxa"/>
              <w:left w:w="57" w:type="dxa"/>
              <w:bottom w:w="17" w:type="dxa"/>
              <w:right w:w="57" w:type="dxa"/>
            </w:tcMar>
            <w:vAlign w:val="center"/>
          </w:tcPr>
          <w:p w14:paraId="056513C7">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.制定设备维保计划并按照计划实施。</w:t>
            </w:r>
          </w:p>
          <w:p w14:paraId="0FB897D1">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.对工厂所有泵、阀、接口等的密封圈定期拆卸检查并根据需要及时更换。</w:t>
            </w:r>
          </w:p>
        </w:tc>
        <w:tc>
          <w:tcPr>
            <w:tcW w:w="1077" w:type="dxa"/>
            <w:tcBorders>
              <w:tl2br w:val="nil"/>
              <w:tr2bl w:val="nil"/>
            </w:tcBorders>
            <w:tcMar>
              <w:top w:w="17" w:type="dxa"/>
              <w:left w:w="57" w:type="dxa"/>
              <w:bottom w:w="17" w:type="dxa"/>
              <w:right w:w="57" w:type="dxa"/>
            </w:tcMar>
            <w:vAlign w:val="center"/>
          </w:tcPr>
          <w:p w14:paraId="169199B1">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按照维保计划执行，保证设备运转正常</w:t>
            </w:r>
          </w:p>
        </w:tc>
        <w:tc>
          <w:tcPr>
            <w:tcW w:w="1587" w:type="dxa"/>
            <w:tcBorders>
              <w:tl2br w:val="nil"/>
              <w:tr2bl w:val="nil"/>
            </w:tcBorders>
            <w:tcMar>
              <w:top w:w="17" w:type="dxa"/>
              <w:left w:w="57" w:type="dxa"/>
              <w:bottom w:w="17" w:type="dxa"/>
              <w:right w:w="57" w:type="dxa"/>
            </w:tcMar>
            <w:vAlign w:val="center"/>
          </w:tcPr>
          <w:p w14:paraId="423E888D">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设备维护保养制度中明确设备维保频次，建议每月/年进行</w:t>
            </w:r>
          </w:p>
        </w:tc>
        <w:tc>
          <w:tcPr>
            <w:tcW w:w="680" w:type="dxa"/>
            <w:tcBorders>
              <w:tl2br w:val="nil"/>
              <w:tr2bl w:val="nil"/>
            </w:tcBorders>
            <w:tcMar>
              <w:top w:w="17" w:type="dxa"/>
              <w:left w:w="57" w:type="dxa"/>
              <w:bottom w:w="17" w:type="dxa"/>
              <w:right w:w="57" w:type="dxa"/>
            </w:tcMar>
            <w:vAlign w:val="center"/>
          </w:tcPr>
          <w:p w14:paraId="4B06F3F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2F6DB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960" w:hRule="atLeast"/>
          <w:jc w:val="center"/>
        </w:trPr>
        <w:tc>
          <w:tcPr>
            <w:tcW w:w="624" w:type="dxa"/>
            <w:vMerge w:val="continue"/>
            <w:tcBorders>
              <w:tl2br w:val="nil"/>
              <w:tr2bl w:val="nil"/>
            </w:tcBorders>
            <w:tcMar>
              <w:top w:w="17" w:type="dxa"/>
              <w:left w:w="57" w:type="dxa"/>
              <w:bottom w:w="17" w:type="dxa"/>
              <w:right w:w="57" w:type="dxa"/>
            </w:tcMar>
            <w:vAlign w:val="center"/>
          </w:tcPr>
          <w:p w14:paraId="66FA32B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624" w:type="dxa"/>
            <w:vMerge w:val="continue"/>
            <w:tcBorders>
              <w:tl2br w:val="nil"/>
              <w:tr2bl w:val="nil"/>
            </w:tcBorders>
            <w:tcMar>
              <w:top w:w="17" w:type="dxa"/>
              <w:left w:w="57" w:type="dxa"/>
              <w:bottom w:w="17" w:type="dxa"/>
              <w:right w:w="57" w:type="dxa"/>
            </w:tcMar>
            <w:vAlign w:val="center"/>
          </w:tcPr>
          <w:p w14:paraId="5406C26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14:paraId="356A456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原辅料控制</w:t>
            </w:r>
          </w:p>
        </w:tc>
        <w:tc>
          <w:tcPr>
            <w:tcW w:w="850" w:type="dxa"/>
            <w:tcBorders>
              <w:tl2br w:val="nil"/>
              <w:tr2bl w:val="nil"/>
            </w:tcBorders>
            <w:tcMar>
              <w:top w:w="17" w:type="dxa"/>
              <w:left w:w="57" w:type="dxa"/>
              <w:bottom w:w="17" w:type="dxa"/>
              <w:right w:w="57" w:type="dxa"/>
            </w:tcMar>
            <w:vAlign w:val="center"/>
          </w:tcPr>
          <w:p w14:paraId="577F19D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原料验收</w:t>
            </w:r>
          </w:p>
        </w:tc>
        <w:tc>
          <w:tcPr>
            <w:tcW w:w="850" w:type="dxa"/>
            <w:tcBorders>
              <w:tl2br w:val="nil"/>
              <w:tr2bl w:val="nil"/>
            </w:tcBorders>
            <w:tcMar>
              <w:top w:w="17" w:type="dxa"/>
              <w:left w:w="57" w:type="dxa"/>
              <w:bottom w:w="17" w:type="dxa"/>
              <w:right w:w="57" w:type="dxa"/>
            </w:tcMar>
            <w:vAlign w:val="center"/>
          </w:tcPr>
          <w:p w14:paraId="5147EDF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原料的验收</w:t>
            </w:r>
          </w:p>
        </w:tc>
        <w:tc>
          <w:tcPr>
            <w:tcW w:w="2835" w:type="dxa"/>
            <w:tcBorders>
              <w:tl2br w:val="nil"/>
              <w:tr2bl w:val="nil"/>
            </w:tcBorders>
            <w:tcMar>
              <w:top w:w="17" w:type="dxa"/>
              <w:left w:w="57" w:type="dxa"/>
              <w:bottom w:w="17" w:type="dxa"/>
              <w:right w:w="57" w:type="dxa"/>
            </w:tcMar>
            <w:vAlign w:val="center"/>
          </w:tcPr>
          <w:p w14:paraId="0748CF1B">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.使用未经检验合格的原料。</w:t>
            </w:r>
          </w:p>
          <w:p w14:paraId="6B7B34EB">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.原料检测指标数据不稳定。</w:t>
            </w:r>
          </w:p>
        </w:tc>
        <w:tc>
          <w:tcPr>
            <w:tcW w:w="3402" w:type="dxa"/>
            <w:tcBorders>
              <w:tl2br w:val="nil"/>
              <w:tr2bl w:val="nil"/>
            </w:tcBorders>
            <w:tcMar>
              <w:top w:w="17" w:type="dxa"/>
              <w:left w:w="57" w:type="dxa"/>
              <w:bottom w:w="17" w:type="dxa"/>
              <w:right w:w="57" w:type="dxa"/>
            </w:tcMar>
            <w:vAlign w:val="center"/>
          </w:tcPr>
          <w:p w14:paraId="64B60F71">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.生产现场各工序人员应按工艺规程操作控制。应配备相关的文件以落实控制措施，如配料（投料）表、岗位操作规程等。</w:t>
            </w:r>
          </w:p>
          <w:p w14:paraId="441A088B">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.不得使用工业废水生产食盐。</w:t>
            </w:r>
          </w:p>
          <w:p w14:paraId="478C3462">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_GB2312" w:hAnsi="仿宋" w:eastAsia="仿宋_GB2312" w:cs="仿宋_GB2312"/>
                <w:color w:val="000000"/>
                <w:kern w:val="0"/>
                <w:sz w:val="24"/>
                <w:lang w:bidi="ar"/>
              </w:rPr>
              <w:t>.有稳定、合法的原料盐供货渠道，每批原料盐应有检验报告，符合要求方可使用。</w:t>
            </w:r>
          </w:p>
        </w:tc>
        <w:tc>
          <w:tcPr>
            <w:tcW w:w="1077" w:type="dxa"/>
            <w:tcBorders>
              <w:tl2br w:val="nil"/>
              <w:tr2bl w:val="nil"/>
            </w:tcBorders>
            <w:tcMar>
              <w:top w:w="17" w:type="dxa"/>
              <w:left w:w="57" w:type="dxa"/>
              <w:bottom w:w="17" w:type="dxa"/>
              <w:right w:w="57" w:type="dxa"/>
            </w:tcMar>
            <w:vAlign w:val="center"/>
          </w:tcPr>
          <w:p w14:paraId="704E7ACA">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符合企业进货查验管理的规定</w:t>
            </w:r>
          </w:p>
        </w:tc>
        <w:tc>
          <w:tcPr>
            <w:tcW w:w="1587" w:type="dxa"/>
            <w:tcBorders>
              <w:tl2br w:val="nil"/>
              <w:tr2bl w:val="nil"/>
            </w:tcBorders>
            <w:tcMar>
              <w:top w:w="17" w:type="dxa"/>
              <w:left w:w="57" w:type="dxa"/>
              <w:bottom w:w="17" w:type="dxa"/>
              <w:right w:w="57" w:type="dxa"/>
            </w:tcMar>
            <w:vAlign w:val="center"/>
          </w:tcPr>
          <w:p w14:paraId="34351DEC">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原辅料进货查验制度中明确管控频次，建议每批次进行</w:t>
            </w:r>
          </w:p>
        </w:tc>
        <w:tc>
          <w:tcPr>
            <w:tcW w:w="680" w:type="dxa"/>
            <w:tcBorders>
              <w:tl2br w:val="nil"/>
              <w:tr2bl w:val="nil"/>
            </w:tcBorders>
            <w:tcMar>
              <w:top w:w="17" w:type="dxa"/>
              <w:left w:w="57" w:type="dxa"/>
              <w:bottom w:w="17" w:type="dxa"/>
              <w:right w:w="57" w:type="dxa"/>
            </w:tcMar>
            <w:vAlign w:val="center"/>
          </w:tcPr>
          <w:p w14:paraId="10B7E44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57DA0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035" w:hRule="atLeast"/>
          <w:jc w:val="center"/>
        </w:trPr>
        <w:tc>
          <w:tcPr>
            <w:tcW w:w="624" w:type="dxa"/>
            <w:vMerge w:val="continue"/>
            <w:tcBorders>
              <w:tl2br w:val="nil"/>
              <w:tr2bl w:val="nil"/>
            </w:tcBorders>
            <w:tcMar>
              <w:top w:w="17" w:type="dxa"/>
              <w:left w:w="57" w:type="dxa"/>
              <w:bottom w:w="17" w:type="dxa"/>
              <w:right w:w="57" w:type="dxa"/>
            </w:tcMar>
            <w:vAlign w:val="center"/>
          </w:tcPr>
          <w:p w14:paraId="4488FCE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0F15E67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765239A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328378F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食品添加剂验收</w:t>
            </w:r>
          </w:p>
        </w:tc>
        <w:tc>
          <w:tcPr>
            <w:tcW w:w="850" w:type="dxa"/>
            <w:tcBorders>
              <w:tl2br w:val="nil"/>
              <w:tr2bl w:val="nil"/>
            </w:tcBorders>
            <w:tcMar>
              <w:top w:w="17" w:type="dxa"/>
              <w:left w:w="57" w:type="dxa"/>
              <w:bottom w:w="17" w:type="dxa"/>
              <w:right w:w="57" w:type="dxa"/>
            </w:tcMar>
            <w:vAlign w:val="center"/>
          </w:tcPr>
          <w:p w14:paraId="5C794B8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食品添加剂不合格，导致产品物理性、化学性或生物性污染</w:t>
            </w:r>
          </w:p>
        </w:tc>
        <w:tc>
          <w:tcPr>
            <w:tcW w:w="2835" w:type="dxa"/>
            <w:tcBorders>
              <w:tl2br w:val="nil"/>
              <w:tr2bl w:val="nil"/>
            </w:tcBorders>
            <w:tcMar>
              <w:top w:w="17" w:type="dxa"/>
              <w:left w:w="57" w:type="dxa"/>
              <w:bottom w:w="17" w:type="dxa"/>
              <w:right w:w="57" w:type="dxa"/>
            </w:tcMar>
            <w:vAlign w:val="center"/>
          </w:tcPr>
          <w:p w14:paraId="4ADFFA6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未严格执行食品添加剂管理制度，采购变质、过期、不合格的食品添加剂，导致产品物理性、化学性或生物性污染，未定期清理过期、变质食品添加剂。</w:t>
            </w:r>
          </w:p>
        </w:tc>
        <w:tc>
          <w:tcPr>
            <w:tcW w:w="3402" w:type="dxa"/>
            <w:tcBorders>
              <w:tl2br w:val="nil"/>
              <w:tr2bl w:val="nil"/>
            </w:tcBorders>
            <w:tcMar>
              <w:top w:w="17" w:type="dxa"/>
              <w:left w:w="57" w:type="dxa"/>
              <w:bottom w:w="17" w:type="dxa"/>
              <w:right w:w="57" w:type="dxa"/>
            </w:tcMar>
            <w:vAlign w:val="center"/>
          </w:tcPr>
          <w:p w14:paraId="2896242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.严格执行食品添加剂进货查验制度，开展食品添加剂入厂自查自检。</w:t>
            </w:r>
          </w:p>
          <w:p w14:paraId="3EE815D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.加强仓库管理制度的执行，定期开展食品添加剂检查和清理。</w:t>
            </w:r>
          </w:p>
          <w:p w14:paraId="3B81D1D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_GB2312" w:hAnsi="仿宋" w:eastAsia="仿宋_GB2312" w:cs="仿宋_GB2312"/>
                <w:color w:val="000000"/>
                <w:kern w:val="0"/>
                <w:sz w:val="24"/>
                <w:lang w:bidi="ar"/>
              </w:rPr>
              <w:t>.加强食品添加剂温度湿度等存储条件的控制、管理，避免因贮存不当引起的安全质量风险。</w:t>
            </w:r>
          </w:p>
        </w:tc>
        <w:tc>
          <w:tcPr>
            <w:tcW w:w="1077" w:type="dxa"/>
            <w:tcBorders>
              <w:tl2br w:val="nil"/>
              <w:tr2bl w:val="nil"/>
            </w:tcBorders>
            <w:tcMar>
              <w:top w:w="17" w:type="dxa"/>
              <w:left w:w="57" w:type="dxa"/>
              <w:bottom w:w="17" w:type="dxa"/>
              <w:right w:w="57" w:type="dxa"/>
            </w:tcMar>
            <w:vAlign w:val="center"/>
          </w:tcPr>
          <w:p w14:paraId="379D55F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符合企业食品添加剂进货查验管理规定</w:t>
            </w:r>
          </w:p>
        </w:tc>
        <w:tc>
          <w:tcPr>
            <w:tcW w:w="1587" w:type="dxa"/>
            <w:tcBorders>
              <w:tl2br w:val="nil"/>
              <w:tr2bl w:val="nil"/>
            </w:tcBorders>
            <w:tcMar>
              <w:top w:w="17" w:type="dxa"/>
              <w:left w:w="57" w:type="dxa"/>
              <w:bottom w:w="17" w:type="dxa"/>
              <w:right w:w="57" w:type="dxa"/>
            </w:tcMar>
            <w:vAlign w:val="center"/>
          </w:tcPr>
          <w:p w14:paraId="7DD3637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食品添加剂进货查验制度中明确管控频次，建议每批次进行</w:t>
            </w:r>
          </w:p>
        </w:tc>
        <w:tc>
          <w:tcPr>
            <w:tcW w:w="680" w:type="dxa"/>
            <w:tcBorders>
              <w:tl2br w:val="nil"/>
              <w:tr2bl w:val="nil"/>
            </w:tcBorders>
            <w:tcMar>
              <w:top w:w="17" w:type="dxa"/>
              <w:left w:w="57" w:type="dxa"/>
              <w:bottom w:w="17" w:type="dxa"/>
              <w:right w:w="57" w:type="dxa"/>
            </w:tcMar>
            <w:vAlign w:val="center"/>
          </w:tcPr>
          <w:p w14:paraId="59E9452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65B23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450" w:hRule="atLeast"/>
          <w:jc w:val="center"/>
        </w:trPr>
        <w:tc>
          <w:tcPr>
            <w:tcW w:w="624" w:type="dxa"/>
            <w:vMerge w:val="continue"/>
            <w:tcBorders>
              <w:tl2br w:val="nil"/>
              <w:tr2bl w:val="nil"/>
            </w:tcBorders>
            <w:tcMar>
              <w:top w:w="17" w:type="dxa"/>
              <w:left w:w="57" w:type="dxa"/>
              <w:bottom w:w="17" w:type="dxa"/>
              <w:right w:w="57" w:type="dxa"/>
            </w:tcMar>
            <w:vAlign w:val="center"/>
          </w:tcPr>
          <w:p w14:paraId="1E4334F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6C4FF9F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74FB186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6CA548C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关键工艺控制</w:t>
            </w:r>
          </w:p>
        </w:tc>
        <w:tc>
          <w:tcPr>
            <w:tcW w:w="850" w:type="dxa"/>
            <w:tcBorders>
              <w:tl2br w:val="nil"/>
              <w:tr2bl w:val="nil"/>
            </w:tcBorders>
            <w:tcMar>
              <w:top w:w="17" w:type="dxa"/>
              <w:left w:w="57" w:type="dxa"/>
              <w:bottom w:w="17" w:type="dxa"/>
              <w:right w:w="57" w:type="dxa"/>
            </w:tcMar>
            <w:vAlign w:val="center"/>
          </w:tcPr>
          <w:p w14:paraId="45A2A1B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提纯（粗盐提纯）、加碘等关键工艺控制出现偏差，造成质量指标不合格</w:t>
            </w:r>
          </w:p>
        </w:tc>
        <w:tc>
          <w:tcPr>
            <w:tcW w:w="2835" w:type="dxa"/>
            <w:tcBorders>
              <w:tl2br w:val="nil"/>
              <w:tr2bl w:val="nil"/>
            </w:tcBorders>
            <w:tcMar>
              <w:top w:w="17" w:type="dxa"/>
              <w:left w:w="57" w:type="dxa"/>
              <w:bottom w:w="17" w:type="dxa"/>
              <w:right w:w="57" w:type="dxa"/>
            </w:tcMar>
            <w:vAlign w:val="center"/>
          </w:tcPr>
          <w:p w14:paraId="71A0AEA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.粗盐提纯制作纯盐时若工艺操作不当、过滤不到位，容易残留杂质离子和沉淀，影响盐成品质量。</w:t>
            </w:r>
          </w:p>
          <w:p w14:paraId="00CAF84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.由于碘不稳定，加碘过程控制出现纰漏，将导致加碘食盐碘含量不符合规定范围。</w:t>
            </w:r>
          </w:p>
        </w:tc>
        <w:tc>
          <w:tcPr>
            <w:tcW w:w="3402" w:type="dxa"/>
            <w:tcBorders>
              <w:tl2br w:val="nil"/>
              <w:tr2bl w:val="nil"/>
            </w:tcBorders>
            <w:tcMar>
              <w:top w:w="17" w:type="dxa"/>
              <w:left w:w="57" w:type="dxa"/>
              <w:bottom w:w="17" w:type="dxa"/>
              <w:right w:w="57" w:type="dxa"/>
            </w:tcMar>
            <w:vAlign w:val="center"/>
          </w:tcPr>
          <w:p w14:paraId="51A13C8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.严格执行过滤、净化操作，保证提纯质量。</w:t>
            </w:r>
          </w:p>
          <w:p w14:paraId="112C67B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.严格把控生产工艺，引入全自动加碘设备，控制加碘量及混合均匀度，确保碘含量的质量控制符合要求。严格按照产品标示生产加碘或不加碘食盐。</w:t>
            </w:r>
          </w:p>
        </w:tc>
        <w:tc>
          <w:tcPr>
            <w:tcW w:w="1077" w:type="dxa"/>
            <w:tcBorders>
              <w:tl2br w:val="nil"/>
              <w:tr2bl w:val="nil"/>
            </w:tcBorders>
            <w:tcMar>
              <w:top w:w="17" w:type="dxa"/>
              <w:left w:w="57" w:type="dxa"/>
              <w:bottom w:w="17" w:type="dxa"/>
              <w:right w:w="57" w:type="dxa"/>
            </w:tcMar>
            <w:vAlign w:val="center"/>
          </w:tcPr>
          <w:p w14:paraId="4B1D5C6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.减少提纯盐中的杂质。</w:t>
            </w:r>
          </w:p>
          <w:p w14:paraId="01F2DBC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.稳定生产出合格产品</w:t>
            </w:r>
          </w:p>
        </w:tc>
        <w:tc>
          <w:tcPr>
            <w:tcW w:w="1587" w:type="dxa"/>
            <w:tcBorders>
              <w:tl2br w:val="nil"/>
              <w:tr2bl w:val="nil"/>
            </w:tcBorders>
            <w:tcMar>
              <w:top w:w="17" w:type="dxa"/>
              <w:left w:w="57" w:type="dxa"/>
              <w:bottom w:w="17" w:type="dxa"/>
              <w:right w:w="57" w:type="dxa"/>
            </w:tcMar>
            <w:vAlign w:val="center"/>
          </w:tcPr>
          <w:p w14:paraId="0A233AE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生产工艺规程中明确管控频次，建议每天进行</w:t>
            </w:r>
          </w:p>
        </w:tc>
        <w:tc>
          <w:tcPr>
            <w:tcW w:w="680" w:type="dxa"/>
            <w:tcBorders>
              <w:tl2br w:val="nil"/>
              <w:tr2bl w:val="nil"/>
            </w:tcBorders>
            <w:tcMar>
              <w:top w:w="17" w:type="dxa"/>
              <w:left w:w="57" w:type="dxa"/>
              <w:bottom w:w="17" w:type="dxa"/>
              <w:right w:w="57" w:type="dxa"/>
            </w:tcMar>
            <w:vAlign w:val="center"/>
          </w:tcPr>
          <w:p w14:paraId="695F3B0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r>
      <w:tr w14:paraId="284AC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450" w:hRule="atLeast"/>
          <w:jc w:val="center"/>
        </w:trPr>
        <w:tc>
          <w:tcPr>
            <w:tcW w:w="624" w:type="dxa"/>
            <w:vMerge w:val="continue"/>
            <w:tcBorders>
              <w:tl2br w:val="nil"/>
              <w:tr2bl w:val="nil"/>
            </w:tcBorders>
            <w:tcMar>
              <w:top w:w="17" w:type="dxa"/>
              <w:left w:w="57" w:type="dxa"/>
              <w:bottom w:w="17" w:type="dxa"/>
              <w:right w:w="57" w:type="dxa"/>
            </w:tcMar>
            <w:vAlign w:val="center"/>
          </w:tcPr>
          <w:p w14:paraId="016FF1B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4CCAB79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252A1ED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5922697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食品相关产品验收</w:t>
            </w:r>
          </w:p>
        </w:tc>
        <w:tc>
          <w:tcPr>
            <w:tcW w:w="850" w:type="dxa"/>
            <w:tcBorders>
              <w:tl2br w:val="nil"/>
              <w:tr2bl w:val="nil"/>
            </w:tcBorders>
            <w:tcMar>
              <w:top w:w="17" w:type="dxa"/>
              <w:left w:w="57" w:type="dxa"/>
              <w:bottom w:w="17" w:type="dxa"/>
              <w:right w:w="57" w:type="dxa"/>
            </w:tcMar>
            <w:vAlign w:val="center"/>
          </w:tcPr>
          <w:p w14:paraId="69FF75D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内包装材料等食品相关产品不合格，具有潜在生物污染、物理污染、化学污染等危害</w:t>
            </w:r>
          </w:p>
        </w:tc>
        <w:tc>
          <w:tcPr>
            <w:tcW w:w="2835" w:type="dxa"/>
            <w:tcBorders>
              <w:tl2br w:val="nil"/>
              <w:tr2bl w:val="nil"/>
            </w:tcBorders>
            <w:tcMar>
              <w:top w:w="17" w:type="dxa"/>
              <w:left w:w="57" w:type="dxa"/>
              <w:bottom w:w="17" w:type="dxa"/>
              <w:right w:w="57" w:type="dxa"/>
            </w:tcMar>
            <w:vAlign w:val="center"/>
          </w:tcPr>
          <w:p w14:paraId="5DF6BC10">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.未建立或落实食品相关产品供应商检查评价制度。</w:t>
            </w:r>
          </w:p>
          <w:p w14:paraId="7F21757F">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.未对食品相关产品严格按相关标准进行验收。</w:t>
            </w:r>
          </w:p>
          <w:p w14:paraId="11D5C383">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_GB2312" w:hAnsi="仿宋" w:eastAsia="仿宋_GB2312" w:cs="仿宋_GB2312"/>
                <w:color w:val="000000"/>
                <w:kern w:val="0"/>
                <w:sz w:val="24"/>
                <w:lang w:bidi="ar"/>
              </w:rPr>
              <w:t>.未建立或落实食品相关产品采购管理制度。</w:t>
            </w:r>
          </w:p>
          <w:p w14:paraId="061D7273">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_GB2312" w:hAnsi="仿宋" w:eastAsia="仿宋_GB2312" w:cs="仿宋_GB2312"/>
                <w:color w:val="000000"/>
                <w:kern w:val="0"/>
                <w:sz w:val="24"/>
                <w:lang w:bidi="ar"/>
              </w:rPr>
              <w:t>.生物污染、物理污染、化学污染（包括重金属及污染物、与食品直接接触材料的迁移物）造成的各种危害，将导致终产品出现质量和安全问题。</w:t>
            </w:r>
          </w:p>
        </w:tc>
        <w:tc>
          <w:tcPr>
            <w:tcW w:w="3402" w:type="dxa"/>
            <w:tcBorders>
              <w:tl2br w:val="nil"/>
              <w:tr2bl w:val="nil"/>
            </w:tcBorders>
            <w:tcMar>
              <w:top w:w="17" w:type="dxa"/>
              <w:left w:w="57" w:type="dxa"/>
              <w:bottom w:w="17" w:type="dxa"/>
              <w:right w:w="57" w:type="dxa"/>
            </w:tcMar>
            <w:vAlign w:val="center"/>
          </w:tcPr>
          <w:p w14:paraId="67BCEF3D">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.严格执行食品相关产品供应商检查评价制度。</w:t>
            </w:r>
          </w:p>
          <w:p w14:paraId="06BA0A6E">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.建立健全食品相关产品采购管理制度，加强食品相关产品管理，减少污染风险。</w:t>
            </w:r>
          </w:p>
          <w:p w14:paraId="6C425DFB">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_GB2312" w:hAnsi="仿宋" w:eastAsia="仿宋_GB2312" w:cs="仿宋_GB2312"/>
                <w:color w:val="000000"/>
                <w:kern w:val="0"/>
                <w:sz w:val="24"/>
                <w:lang w:bidi="ar"/>
              </w:rPr>
              <w:t>.严格执行食品相关产品索证和验收制度。按照产品的执行标准验收，包括查看检验检测报告，感官查验、抽样检测等。</w:t>
            </w:r>
          </w:p>
        </w:tc>
        <w:tc>
          <w:tcPr>
            <w:tcW w:w="1077" w:type="dxa"/>
            <w:tcBorders>
              <w:tl2br w:val="nil"/>
              <w:tr2bl w:val="nil"/>
            </w:tcBorders>
            <w:tcMar>
              <w:top w:w="17" w:type="dxa"/>
              <w:left w:w="57" w:type="dxa"/>
              <w:bottom w:w="17" w:type="dxa"/>
              <w:right w:w="57" w:type="dxa"/>
            </w:tcMar>
            <w:vAlign w:val="center"/>
          </w:tcPr>
          <w:p w14:paraId="331DE0F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符合相应的国家标准、行业标准等</w:t>
            </w:r>
          </w:p>
        </w:tc>
        <w:tc>
          <w:tcPr>
            <w:tcW w:w="1587" w:type="dxa"/>
            <w:tcBorders>
              <w:tl2br w:val="nil"/>
              <w:tr2bl w:val="nil"/>
            </w:tcBorders>
            <w:tcMar>
              <w:top w:w="17" w:type="dxa"/>
              <w:left w:w="57" w:type="dxa"/>
              <w:bottom w:w="17" w:type="dxa"/>
              <w:right w:w="57" w:type="dxa"/>
            </w:tcMar>
            <w:vAlign w:val="center"/>
          </w:tcPr>
          <w:p w14:paraId="0B8A616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原辅料进货查验制度中明确管控频次，建议每批次进行</w:t>
            </w:r>
          </w:p>
        </w:tc>
        <w:tc>
          <w:tcPr>
            <w:tcW w:w="680" w:type="dxa"/>
            <w:tcBorders>
              <w:tl2br w:val="nil"/>
              <w:tr2bl w:val="nil"/>
            </w:tcBorders>
            <w:tcMar>
              <w:top w:w="17" w:type="dxa"/>
              <w:left w:w="57" w:type="dxa"/>
              <w:bottom w:w="17" w:type="dxa"/>
              <w:right w:w="57" w:type="dxa"/>
            </w:tcMar>
            <w:vAlign w:val="center"/>
          </w:tcPr>
          <w:p w14:paraId="6A81427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2CA3D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328" w:hRule="atLeast"/>
          <w:jc w:val="center"/>
        </w:trPr>
        <w:tc>
          <w:tcPr>
            <w:tcW w:w="624" w:type="dxa"/>
            <w:vMerge w:val="continue"/>
            <w:tcBorders>
              <w:tl2br w:val="nil"/>
              <w:tr2bl w:val="nil"/>
            </w:tcBorders>
            <w:tcMar>
              <w:top w:w="17" w:type="dxa"/>
              <w:left w:w="57" w:type="dxa"/>
              <w:bottom w:w="17" w:type="dxa"/>
              <w:right w:w="57" w:type="dxa"/>
            </w:tcMar>
            <w:vAlign w:val="center"/>
          </w:tcPr>
          <w:p w14:paraId="65795F6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476F7EF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282F1FE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2887C55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食品添加剂使用</w:t>
            </w:r>
          </w:p>
        </w:tc>
        <w:tc>
          <w:tcPr>
            <w:tcW w:w="850" w:type="dxa"/>
            <w:tcBorders>
              <w:tl2br w:val="nil"/>
              <w:tr2bl w:val="nil"/>
            </w:tcBorders>
            <w:tcMar>
              <w:top w:w="17" w:type="dxa"/>
              <w:left w:w="57" w:type="dxa"/>
              <w:bottom w:w="17" w:type="dxa"/>
              <w:right w:w="57" w:type="dxa"/>
            </w:tcMar>
            <w:vAlign w:val="center"/>
          </w:tcPr>
          <w:p w14:paraId="01B741A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超范围、超限量使用食品添加剂等</w:t>
            </w:r>
          </w:p>
        </w:tc>
        <w:tc>
          <w:tcPr>
            <w:tcW w:w="2835" w:type="dxa"/>
            <w:tcBorders>
              <w:tl2br w:val="nil"/>
              <w:tr2bl w:val="nil"/>
            </w:tcBorders>
            <w:tcMar>
              <w:top w:w="17" w:type="dxa"/>
              <w:left w:w="57" w:type="dxa"/>
              <w:bottom w:w="17" w:type="dxa"/>
              <w:right w:w="57" w:type="dxa"/>
            </w:tcMar>
            <w:vAlign w:val="center"/>
          </w:tcPr>
          <w:p w14:paraId="6E92E0B8">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.生产管理制度落实不到位。</w:t>
            </w:r>
          </w:p>
          <w:p w14:paraId="1D1555E6">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.对</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2760</w:t>
            </w:r>
            <w:r>
              <w:rPr>
                <w:rFonts w:hint="eastAsia" w:ascii="仿宋_GB2312" w:hAnsi="仿宋" w:eastAsia="仿宋_GB2312" w:cs="仿宋_GB2312"/>
                <w:color w:val="000000"/>
                <w:kern w:val="0"/>
                <w:sz w:val="24"/>
                <w:lang w:bidi="ar"/>
              </w:rPr>
              <w:t>不熟悉、不了解或掌握不到位，对食盐中允许添加的食品添加剂品种不掌握，导致违规添加。</w:t>
            </w:r>
          </w:p>
        </w:tc>
        <w:tc>
          <w:tcPr>
            <w:tcW w:w="3402" w:type="dxa"/>
            <w:tcBorders>
              <w:tl2br w:val="nil"/>
              <w:tr2bl w:val="nil"/>
            </w:tcBorders>
            <w:tcMar>
              <w:top w:w="17" w:type="dxa"/>
              <w:left w:w="57" w:type="dxa"/>
              <w:bottom w:w="17" w:type="dxa"/>
              <w:right w:w="57" w:type="dxa"/>
            </w:tcMar>
            <w:vAlign w:val="center"/>
          </w:tcPr>
          <w:p w14:paraId="20688C39">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.食盐生产中使用的食品添加剂应符合相关国家法律法规和标准规定。不得将任何非食用物质添加到食盐中。</w:t>
            </w:r>
          </w:p>
          <w:p w14:paraId="6AD5933A">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.如实记录食品添加剂的名称、规格、数量、生产日期或者生产批号、保质期、进货日期，以及供货者名称、地址、联系方式等内容，并保存相关凭证。</w:t>
            </w:r>
          </w:p>
          <w:p w14:paraId="3055ADEF">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_GB2312" w:hAnsi="仿宋" w:eastAsia="仿宋_GB2312" w:cs="仿宋_GB2312"/>
                <w:color w:val="000000"/>
                <w:kern w:val="0"/>
                <w:sz w:val="24"/>
                <w:lang w:bidi="ar"/>
              </w:rPr>
              <w:t>.食品添加剂的添加应有专人管理，并保持受控，有记录。</w:t>
            </w:r>
          </w:p>
        </w:tc>
        <w:tc>
          <w:tcPr>
            <w:tcW w:w="1077" w:type="dxa"/>
            <w:tcBorders>
              <w:tl2br w:val="nil"/>
              <w:tr2bl w:val="nil"/>
            </w:tcBorders>
            <w:tcMar>
              <w:top w:w="17" w:type="dxa"/>
              <w:left w:w="57" w:type="dxa"/>
              <w:bottom w:w="17" w:type="dxa"/>
              <w:right w:w="57" w:type="dxa"/>
            </w:tcMar>
            <w:vAlign w:val="center"/>
          </w:tcPr>
          <w:p w14:paraId="1FD6797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符合《食品安全法》、</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2760</w:t>
            </w:r>
            <w:r>
              <w:rPr>
                <w:rFonts w:hint="eastAsia" w:ascii="仿宋_GB2312" w:hAnsi="仿宋" w:eastAsia="仿宋_GB2312" w:cs="仿宋_GB2312"/>
                <w:color w:val="000000"/>
                <w:kern w:val="0"/>
                <w:sz w:val="24"/>
                <w:lang w:bidi="ar"/>
              </w:rPr>
              <w:t>及相关规定</w:t>
            </w:r>
          </w:p>
        </w:tc>
        <w:tc>
          <w:tcPr>
            <w:tcW w:w="1587" w:type="dxa"/>
            <w:tcBorders>
              <w:tl2br w:val="nil"/>
              <w:tr2bl w:val="nil"/>
            </w:tcBorders>
            <w:tcMar>
              <w:top w:w="17" w:type="dxa"/>
              <w:left w:w="57" w:type="dxa"/>
              <w:bottom w:w="17" w:type="dxa"/>
              <w:right w:w="57" w:type="dxa"/>
            </w:tcMar>
            <w:vAlign w:val="center"/>
          </w:tcPr>
          <w:p w14:paraId="12EA80D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生产工艺规程中明确管控频次，建议每批次进行</w:t>
            </w:r>
          </w:p>
        </w:tc>
        <w:tc>
          <w:tcPr>
            <w:tcW w:w="680" w:type="dxa"/>
            <w:tcBorders>
              <w:tl2br w:val="nil"/>
              <w:tr2bl w:val="nil"/>
            </w:tcBorders>
            <w:tcMar>
              <w:top w:w="17" w:type="dxa"/>
              <w:left w:w="57" w:type="dxa"/>
              <w:bottom w:w="17" w:type="dxa"/>
              <w:right w:w="57" w:type="dxa"/>
            </w:tcMar>
            <w:vAlign w:val="center"/>
          </w:tcPr>
          <w:p w14:paraId="77EC17E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266D4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318" w:hRule="atLeast"/>
          <w:jc w:val="center"/>
        </w:trPr>
        <w:tc>
          <w:tcPr>
            <w:tcW w:w="624" w:type="dxa"/>
            <w:vMerge w:val="continue"/>
            <w:tcBorders>
              <w:tl2br w:val="nil"/>
              <w:tr2bl w:val="nil"/>
            </w:tcBorders>
            <w:tcMar>
              <w:top w:w="17" w:type="dxa"/>
              <w:left w:w="57" w:type="dxa"/>
              <w:bottom w:w="17" w:type="dxa"/>
              <w:right w:w="57" w:type="dxa"/>
            </w:tcMar>
            <w:vAlign w:val="center"/>
          </w:tcPr>
          <w:p w14:paraId="30FDBE6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232B51D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2286358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2191C09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化学品污染</w:t>
            </w:r>
          </w:p>
        </w:tc>
        <w:tc>
          <w:tcPr>
            <w:tcW w:w="850" w:type="dxa"/>
            <w:tcBorders>
              <w:tl2br w:val="nil"/>
              <w:tr2bl w:val="nil"/>
            </w:tcBorders>
            <w:tcMar>
              <w:top w:w="17" w:type="dxa"/>
              <w:left w:w="57" w:type="dxa"/>
              <w:bottom w:w="17" w:type="dxa"/>
              <w:right w:w="57" w:type="dxa"/>
            </w:tcMar>
            <w:vAlign w:val="center"/>
          </w:tcPr>
          <w:p w14:paraId="7E64F66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润滑油污染</w:t>
            </w:r>
          </w:p>
        </w:tc>
        <w:tc>
          <w:tcPr>
            <w:tcW w:w="2835" w:type="dxa"/>
            <w:tcBorders>
              <w:tl2br w:val="nil"/>
              <w:tr2bl w:val="nil"/>
            </w:tcBorders>
            <w:tcMar>
              <w:top w:w="17" w:type="dxa"/>
              <w:left w:w="57" w:type="dxa"/>
              <w:bottom w:w="17" w:type="dxa"/>
              <w:right w:w="57" w:type="dxa"/>
            </w:tcMar>
            <w:vAlign w:val="center"/>
          </w:tcPr>
          <w:p w14:paraId="7A1ED7E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食品接触的润滑部位使用非食品级润滑剂易导致产品被污染。</w:t>
            </w:r>
          </w:p>
        </w:tc>
        <w:tc>
          <w:tcPr>
            <w:tcW w:w="3402" w:type="dxa"/>
            <w:tcBorders>
              <w:tl2br w:val="nil"/>
              <w:tr2bl w:val="nil"/>
            </w:tcBorders>
            <w:tcMar>
              <w:top w:w="17" w:type="dxa"/>
              <w:left w:w="57" w:type="dxa"/>
              <w:bottom w:w="17" w:type="dxa"/>
              <w:right w:w="57" w:type="dxa"/>
            </w:tcMar>
            <w:vAlign w:val="center"/>
          </w:tcPr>
          <w:p w14:paraId="48729C4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可能与食品接触部位的润滑使用食品级润滑剂，定期更换润滑剂，并及时清除污浊的润滑剂。</w:t>
            </w:r>
          </w:p>
        </w:tc>
        <w:tc>
          <w:tcPr>
            <w:tcW w:w="1077" w:type="dxa"/>
            <w:tcBorders>
              <w:tl2br w:val="nil"/>
              <w:tr2bl w:val="nil"/>
            </w:tcBorders>
            <w:tcMar>
              <w:top w:w="17" w:type="dxa"/>
              <w:left w:w="57" w:type="dxa"/>
              <w:bottom w:w="17" w:type="dxa"/>
              <w:right w:w="57" w:type="dxa"/>
            </w:tcMar>
            <w:vAlign w:val="center"/>
          </w:tcPr>
          <w:p w14:paraId="48E220D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符合设备维保要求</w:t>
            </w:r>
          </w:p>
        </w:tc>
        <w:tc>
          <w:tcPr>
            <w:tcW w:w="1587" w:type="dxa"/>
            <w:tcBorders>
              <w:tl2br w:val="nil"/>
              <w:tr2bl w:val="nil"/>
            </w:tcBorders>
            <w:tcMar>
              <w:top w:w="17" w:type="dxa"/>
              <w:left w:w="57" w:type="dxa"/>
              <w:bottom w:w="17" w:type="dxa"/>
              <w:right w:w="57" w:type="dxa"/>
            </w:tcMar>
            <w:vAlign w:val="center"/>
          </w:tcPr>
          <w:p w14:paraId="5E836CB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设备维护保养制度中明确润滑油管控频次，建议每次使用前后进行</w:t>
            </w:r>
          </w:p>
        </w:tc>
        <w:tc>
          <w:tcPr>
            <w:tcW w:w="680" w:type="dxa"/>
            <w:tcBorders>
              <w:tl2br w:val="nil"/>
              <w:tr2bl w:val="nil"/>
            </w:tcBorders>
            <w:tcMar>
              <w:top w:w="17" w:type="dxa"/>
              <w:left w:w="57" w:type="dxa"/>
              <w:bottom w:w="17" w:type="dxa"/>
              <w:right w:w="57" w:type="dxa"/>
            </w:tcMar>
            <w:vAlign w:val="center"/>
          </w:tcPr>
          <w:p w14:paraId="27271A2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7D826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328" w:hRule="atLeast"/>
          <w:jc w:val="center"/>
        </w:trPr>
        <w:tc>
          <w:tcPr>
            <w:tcW w:w="624" w:type="dxa"/>
            <w:vMerge w:val="continue"/>
            <w:tcBorders>
              <w:tl2br w:val="nil"/>
              <w:tr2bl w:val="nil"/>
            </w:tcBorders>
            <w:tcMar>
              <w:top w:w="17" w:type="dxa"/>
              <w:left w:w="57" w:type="dxa"/>
              <w:bottom w:w="17" w:type="dxa"/>
              <w:right w:w="57" w:type="dxa"/>
            </w:tcMar>
            <w:vAlign w:val="center"/>
          </w:tcPr>
          <w:p w14:paraId="18AD84F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19F1C94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7BB35F8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30389B5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异物综合管理</w:t>
            </w:r>
          </w:p>
        </w:tc>
        <w:tc>
          <w:tcPr>
            <w:tcW w:w="850" w:type="dxa"/>
            <w:tcBorders>
              <w:tl2br w:val="nil"/>
              <w:tr2bl w:val="nil"/>
            </w:tcBorders>
            <w:tcMar>
              <w:top w:w="17" w:type="dxa"/>
              <w:left w:w="57" w:type="dxa"/>
              <w:bottom w:w="17" w:type="dxa"/>
              <w:right w:w="57" w:type="dxa"/>
            </w:tcMar>
            <w:vAlign w:val="center"/>
          </w:tcPr>
          <w:p w14:paraId="034A8F2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产品带入异物</w:t>
            </w:r>
          </w:p>
        </w:tc>
        <w:tc>
          <w:tcPr>
            <w:tcW w:w="2835" w:type="dxa"/>
            <w:tcBorders>
              <w:tl2br w:val="nil"/>
              <w:tr2bl w:val="nil"/>
            </w:tcBorders>
            <w:tcMar>
              <w:top w:w="17" w:type="dxa"/>
              <w:left w:w="57" w:type="dxa"/>
              <w:bottom w:w="17" w:type="dxa"/>
              <w:right w:w="57" w:type="dxa"/>
            </w:tcMar>
            <w:vAlign w:val="center"/>
          </w:tcPr>
          <w:p w14:paraId="6E3F303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异物进入食盐、人为破坏食盐安全的行为。</w:t>
            </w:r>
          </w:p>
        </w:tc>
        <w:tc>
          <w:tcPr>
            <w:tcW w:w="3402" w:type="dxa"/>
            <w:tcBorders>
              <w:tl2br w:val="nil"/>
              <w:tr2bl w:val="nil"/>
            </w:tcBorders>
            <w:tcMar>
              <w:top w:w="17" w:type="dxa"/>
              <w:left w:w="57" w:type="dxa"/>
              <w:bottom w:w="17" w:type="dxa"/>
              <w:right w:w="57" w:type="dxa"/>
            </w:tcMar>
            <w:vAlign w:val="center"/>
          </w:tcPr>
          <w:p w14:paraId="33C805F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.建立影响食盐安全的关键环节控制措施并有效运行，保存检查记录。</w:t>
            </w:r>
          </w:p>
          <w:p w14:paraId="7E1E75F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w:t>
            </w:r>
            <w:r>
              <w:rPr>
                <w:rFonts w:hint="eastAsia" w:ascii="仿宋_GB2312" w:hAnsi="仿宋" w:eastAsia="仿宋_GB2312" w:cs="仿宋_GB2312"/>
                <w:color w:val="000000"/>
                <w:spacing w:val="-11"/>
                <w:kern w:val="0"/>
                <w:sz w:val="24"/>
                <w:lang w:bidi="ar"/>
              </w:rPr>
              <w:t>严格控制非生产用品进入生产区。</w:t>
            </w:r>
          </w:p>
          <w:p w14:paraId="5E24D76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_GB2312" w:hAnsi="仿宋" w:eastAsia="仿宋_GB2312" w:cs="仿宋_GB2312"/>
                <w:color w:val="000000"/>
                <w:kern w:val="0"/>
                <w:sz w:val="24"/>
                <w:lang w:bidi="ar"/>
              </w:rPr>
              <w:t>.所有接触食盐的设备表面应耐腐蚀、不易脱落。应采取设置筛网、捕集器、磁铁、金属检查器等有效措施降低金属或其他异物污染食品的风险。</w:t>
            </w:r>
          </w:p>
        </w:tc>
        <w:tc>
          <w:tcPr>
            <w:tcW w:w="1077" w:type="dxa"/>
            <w:tcBorders>
              <w:tl2br w:val="nil"/>
              <w:tr2bl w:val="nil"/>
            </w:tcBorders>
            <w:tcMar>
              <w:top w:w="17" w:type="dxa"/>
              <w:left w:w="57" w:type="dxa"/>
              <w:bottom w:w="17" w:type="dxa"/>
              <w:right w:w="57" w:type="dxa"/>
            </w:tcMar>
            <w:vAlign w:val="center"/>
          </w:tcPr>
          <w:p w14:paraId="4F8BA1F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符合内部管理要求</w:t>
            </w:r>
          </w:p>
        </w:tc>
        <w:tc>
          <w:tcPr>
            <w:tcW w:w="1587" w:type="dxa"/>
            <w:tcBorders>
              <w:tl2br w:val="nil"/>
              <w:tr2bl w:val="nil"/>
            </w:tcBorders>
            <w:tcMar>
              <w:top w:w="17" w:type="dxa"/>
              <w:left w:w="57" w:type="dxa"/>
              <w:bottom w:w="17" w:type="dxa"/>
              <w:right w:w="57" w:type="dxa"/>
            </w:tcMar>
            <w:vAlign w:val="center"/>
          </w:tcPr>
          <w:p w14:paraId="0559DD3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异物管控制度中明确管控频次，建议每日进行</w:t>
            </w:r>
          </w:p>
        </w:tc>
        <w:tc>
          <w:tcPr>
            <w:tcW w:w="680" w:type="dxa"/>
            <w:tcBorders>
              <w:tl2br w:val="nil"/>
              <w:tr2bl w:val="nil"/>
            </w:tcBorders>
            <w:tcMar>
              <w:top w:w="17" w:type="dxa"/>
              <w:left w:w="57" w:type="dxa"/>
              <w:bottom w:w="17" w:type="dxa"/>
              <w:right w:w="57" w:type="dxa"/>
            </w:tcMar>
            <w:vAlign w:val="center"/>
          </w:tcPr>
          <w:p w14:paraId="4C31277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03D84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713" w:hRule="atLeast"/>
          <w:jc w:val="center"/>
        </w:trPr>
        <w:tc>
          <w:tcPr>
            <w:tcW w:w="624" w:type="dxa"/>
            <w:vMerge w:val="continue"/>
            <w:tcBorders>
              <w:tl2br w:val="nil"/>
              <w:tr2bl w:val="nil"/>
            </w:tcBorders>
            <w:tcMar>
              <w:top w:w="17" w:type="dxa"/>
              <w:left w:w="57" w:type="dxa"/>
              <w:bottom w:w="17" w:type="dxa"/>
              <w:right w:w="57" w:type="dxa"/>
            </w:tcMar>
            <w:vAlign w:val="center"/>
          </w:tcPr>
          <w:p w14:paraId="3712612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624" w:type="dxa"/>
            <w:vMerge w:val="continue"/>
            <w:tcBorders>
              <w:tl2br w:val="nil"/>
              <w:tr2bl w:val="nil"/>
            </w:tcBorders>
            <w:tcMar>
              <w:top w:w="17" w:type="dxa"/>
              <w:left w:w="57" w:type="dxa"/>
              <w:bottom w:w="17" w:type="dxa"/>
              <w:right w:w="57" w:type="dxa"/>
            </w:tcMar>
            <w:vAlign w:val="center"/>
          </w:tcPr>
          <w:p w14:paraId="3D072BD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14:paraId="4C27E8E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人员管理</w:t>
            </w:r>
          </w:p>
        </w:tc>
        <w:tc>
          <w:tcPr>
            <w:tcW w:w="850" w:type="dxa"/>
            <w:tcBorders>
              <w:tl2br w:val="nil"/>
              <w:tr2bl w:val="nil"/>
            </w:tcBorders>
            <w:tcMar>
              <w:top w:w="17" w:type="dxa"/>
              <w:left w:w="57" w:type="dxa"/>
              <w:bottom w:w="17" w:type="dxa"/>
              <w:right w:w="57" w:type="dxa"/>
            </w:tcMar>
            <w:vAlign w:val="center"/>
          </w:tcPr>
          <w:p w14:paraId="6E0144F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人员健康</w:t>
            </w:r>
          </w:p>
        </w:tc>
        <w:tc>
          <w:tcPr>
            <w:tcW w:w="850" w:type="dxa"/>
            <w:tcBorders>
              <w:tl2br w:val="nil"/>
              <w:tr2bl w:val="nil"/>
            </w:tcBorders>
            <w:tcMar>
              <w:top w:w="17" w:type="dxa"/>
              <w:left w:w="57" w:type="dxa"/>
              <w:bottom w:w="17" w:type="dxa"/>
              <w:right w:w="57" w:type="dxa"/>
            </w:tcMar>
            <w:vAlign w:val="center"/>
          </w:tcPr>
          <w:p w14:paraId="1575E42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健康证</w:t>
            </w:r>
          </w:p>
        </w:tc>
        <w:tc>
          <w:tcPr>
            <w:tcW w:w="2835" w:type="dxa"/>
            <w:tcBorders>
              <w:tl2br w:val="nil"/>
              <w:tr2bl w:val="nil"/>
            </w:tcBorders>
            <w:tcMar>
              <w:top w:w="17" w:type="dxa"/>
              <w:left w:w="57" w:type="dxa"/>
              <w:bottom w:w="17" w:type="dxa"/>
              <w:right w:w="57" w:type="dxa"/>
            </w:tcMar>
            <w:vAlign w:val="center"/>
          </w:tcPr>
          <w:p w14:paraId="1EE0EDF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从事接触直接入口食品工作的人员若不具备有效健康证明，有传播病菌、污染食品的风险。</w:t>
            </w:r>
          </w:p>
        </w:tc>
        <w:tc>
          <w:tcPr>
            <w:tcW w:w="3402" w:type="dxa"/>
            <w:tcBorders>
              <w:tl2br w:val="nil"/>
              <w:tr2bl w:val="nil"/>
            </w:tcBorders>
            <w:tcMar>
              <w:top w:w="17" w:type="dxa"/>
              <w:left w:w="57" w:type="dxa"/>
              <w:bottom w:w="17" w:type="dxa"/>
              <w:right w:w="57" w:type="dxa"/>
            </w:tcMar>
            <w:vAlign w:val="center"/>
          </w:tcPr>
          <w:p w14:paraId="774632A6">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.建立并执行从业人员健康管理制度。</w:t>
            </w:r>
          </w:p>
          <w:p w14:paraId="1FD5ABF0">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.从事接触直接入口食品工作的食品生产人员应当每年进行健康检查，取得健康证明后方可上岗工作。</w:t>
            </w:r>
          </w:p>
          <w:p w14:paraId="4E289978">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_GB2312" w:hAnsi="仿宋" w:eastAsia="仿宋_GB2312" w:cs="仿宋_GB2312"/>
                <w:color w:val="000000"/>
                <w:kern w:val="0"/>
                <w:sz w:val="24"/>
                <w:lang w:bidi="ar"/>
              </w:rPr>
              <w:t>.对患有下列病症之一者，不得从事接触直接入口食品的工作：</w:t>
            </w:r>
          </w:p>
          <w:p w14:paraId="138A945F">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a</w:t>
            </w:r>
            <w:r>
              <w:rPr>
                <w:rFonts w:hint="eastAsia" w:ascii="仿宋_GB2312" w:hAnsi="仿宋" w:eastAsia="仿宋_GB2312" w:cs="仿宋_GB2312"/>
                <w:color w:val="000000"/>
                <w:kern w:val="0"/>
                <w:sz w:val="24"/>
                <w:lang w:bidi="ar"/>
              </w:rPr>
              <w:t>.痢疾（细菌性痢疾和痢疾带菌者）、伤寒（肠伤寒和肠伤寒带菌者）、肝炎（病毒性肝炎和带毒者）等消化道传染病（包括病原携带者）；</w:t>
            </w:r>
          </w:p>
          <w:p w14:paraId="1616FBF1">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b.活动性肺结核；</w:t>
            </w:r>
          </w:p>
          <w:p w14:paraId="02DB41F4">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c.化脓性或渗出性皮肤病；</w:t>
            </w:r>
          </w:p>
          <w:p w14:paraId="7989E3E1">
            <w:pPr>
              <w:keepNext w:val="0"/>
              <w:keepLines w:val="0"/>
              <w:pageBreakBefore w:val="0"/>
              <w:widowControl w:val="0"/>
              <w:kinsoku/>
              <w:wordWrap/>
              <w:overflowPunct w:val="0"/>
              <w:topLinePunct w:val="0"/>
              <w:autoSpaceDE/>
              <w:autoSpaceDN/>
              <w:bidi w:val="0"/>
              <w:adjustRightInd w:val="0"/>
              <w:snapToGrid w:val="0"/>
              <w:spacing w:line="28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d</w:t>
            </w:r>
            <w:r>
              <w:rPr>
                <w:rFonts w:hint="eastAsia" w:ascii="仿宋_GB2312" w:hAnsi="仿宋" w:eastAsia="仿宋_GB2312" w:cs="仿宋_GB2312"/>
                <w:color w:val="000000"/>
                <w:kern w:val="0"/>
                <w:sz w:val="24"/>
                <w:lang w:bidi="ar"/>
              </w:rPr>
              <w:t>.其它有碍食品安全的疾病或疾患的人员。</w:t>
            </w:r>
          </w:p>
        </w:tc>
        <w:tc>
          <w:tcPr>
            <w:tcW w:w="1077" w:type="dxa"/>
            <w:tcBorders>
              <w:tl2br w:val="nil"/>
              <w:tr2bl w:val="nil"/>
            </w:tcBorders>
            <w:tcMar>
              <w:top w:w="17" w:type="dxa"/>
              <w:left w:w="57" w:type="dxa"/>
              <w:bottom w:w="17" w:type="dxa"/>
              <w:right w:w="57" w:type="dxa"/>
            </w:tcMar>
            <w:vAlign w:val="center"/>
          </w:tcPr>
          <w:p w14:paraId="50B023A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14881</w:t>
            </w:r>
            <w:r>
              <w:rPr>
                <w:rFonts w:hint="eastAsia" w:ascii="仿宋_GB2312" w:hAnsi="仿宋" w:eastAsia="仿宋_GB2312" w:cs="仿宋_GB2312"/>
                <w:color w:val="000000"/>
                <w:kern w:val="0"/>
                <w:sz w:val="24"/>
                <w:lang w:bidi="ar"/>
              </w:rPr>
              <w:t>食品加工人员健康管理要求</w:t>
            </w:r>
          </w:p>
        </w:tc>
        <w:tc>
          <w:tcPr>
            <w:tcW w:w="1587" w:type="dxa"/>
            <w:tcBorders>
              <w:tl2br w:val="nil"/>
              <w:tr2bl w:val="nil"/>
            </w:tcBorders>
            <w:tcMar>
              <w:top w:w="17" w:type="dxa"/>
              <w:left w:w="57" w:type="dxa"/>
              <w:bottom w:w="17" w:type="dxa"/>
              <w:right w:w="57" w:type="dxa"/>
            </w:tcMar>
            <w:vAlign w:val="center"/>
          </w:tcPr>
          <w:p w14:paraId="45CB8F0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《食品安全法》中明确健康证管控要求，须每年办理</w:t>
            </w:r>
          </w:p>
        </w:tc>
        <w:tc>
          <w:tcPr>
            <w:tcW w:w="680" w:type="dxa"/>
            <w:tcBorders>
              <w:tl2br w:val="nil"/>
              <w:tr2bl w:val="nil"/>
            </w:tcBorders>
            <w:tcMar>
              <w:top w:w="17" w:type="dxa"/>
              <w:left w:w="57" w:type="dxa"/>
              <w:bottom w:w="17" w:type="dxa"/>
              <w:right w:w="57" w:type="dxa"/>
            </w:tcMar>
            <w:vAlign w:val="center"/>
          </w:tcPr>
          <w:p w14:paraId="57C5A3D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6F080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405" w:hRule="atLeast"/>
          <w:jc w:val="center"/>
        </w:trPr>
        <w:tc>
          <w:tcPr>
            <w:tcW w:w="624" w:type="dxa"/>
            <w:vMerge w:val="continue"/>
            <w:tcBorders>
              <w:tl2br w:val="nil"/>
              <w:tr2bl w:val="nil"/>
            </w:tcBorders>
            <w:tcMar>
              <w:top w:w="17" w:type="dxa"/>
              <w:left w:w="57" w:type="dxa"/>
              <w:bottom w:w="17" w:type="dxa"/>
              <w:right w:w="57" w:type="dxa"/>
            </w:tcMar>
            <w:vAlign w:val="center"/>
          </w:tcPr>
          <w:p w14:paraId="79B220C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1AE6497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09739DB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41E1F24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服装管理</w:t>
            </w:r>
          </w:p>
        </w:tc>
        <w:tc>
          <w:tcPr>
            <w:tcW w:w="850" w:type="dxa"/>
            <w:tcBorders>
              <w:tl2br w:val="nil"/>
              <w:tr2bl w:val="nil"/>
            </w:tcBorders>
            <w:tcMar>
              <w:top w:w="17" w:type="dxa"/>
              <w:left w:w="57" w:type="dxa"/>
              <w:bottom w:w="17" w:type="dxa"/>
              <w:right w:w="57" w:type="dxa"/>
            </w:tcMar>
            <w:vAlign w:val="center"/>
          </w:tcPr>
          <w:p w14:paraId="7F636F4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进入清洁作业区服装管理</w:t>
            </w:r>
          </w:p>
        </w:tc>
        <w:tc>
          <w:tcPr>
            <w:tcW w:w="2835" w:type="dxa"/>
            <w:tcBorders>
              <w:tl2br w:val="nil"/>
              <w:tr2bl w:val="nil"/>
            </w:tcBorders>
            <w:tcMar>
              <w:top w:w="17" w:type="dxa"/>
              <w:left w:w="57" w:type="dxa"/>
              <w:bottom w:w="17" w:type="dxa"/>
              <w:right w:w="57" w:type="dxa"/>
            </w:tcMar>
            <w:vAlign w:val="center"/>
          </w:tcPr>
          <w:p w14:paraId="1E50E7B0">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.工作服清洗不彻底或未定期清洗，有对产品造成交叉污染风险。</w:t>
            </w:r>
          </w:p>
          <w:p w14:paraId="7C097616">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.工作服破损，腰部以上有口袋，内容物或扣件掉落污染食品。</w:t>
            </w:r>
          </w:p>
        </w:tc>
        <w:tc>
          <w:tcPr>
            <w:tcW w:w="3402" w:type="dxa"/>
            <w:tcBorders>
              <w:tl2br w:val="nil"/>
              <w:tr2bl w:val="nil"/>
            </w:tcBorders>
            <w:tcMar>
              <w:top w:w="17" w:type="dxa"/>
              <w:left w:w="57" w:type="dxa"/>
              <w:bottom w:w="17" w:type="dxa"/>
              <w:right w:w="57" w:type="dxa"/>
            </w:tcMar>
            <w:vAlign w:val="center"/>
          </w:tcPr>
          <w:p w14:paraId="19A7E9F9">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.制定工作服的清洗保洁制度，定制服装要求腰部以上无口袋，每班清洗消毒。</w:t>
            </w:r>
          </w:p>
          <w:p w14:paraId="48147FF0">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.每次清洗前后应检查服装的纽扣、线头、拉链等。</w:t>
            </w:r>
          </w:p>
        </w:tc>
        <w:tc>
          <w:tcPr>
            <w:tcW w:w="1077" w:type="dxa"/>
            <w:tcBorders>
              <w:tl2br w:val="nil"/>
              <w:tr2bl w:val="nil"/>
            </w:tcBorders>
            <w:tcMar>
              <w:top w:w="17" w:type="dxa"/>
              <w:left w:w="57" w:type="dxa"/>
              <w:bottom w:w="17" w:type="dxa"/>
              <w:right w:w="57" w:type="dxa"/>
            </w:tcMar>
            <w:vAlign w:val="center"/>
          </w:tcPr>
          <w:p w14:paraId="2846D1D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14881</w:t>
            </w:r>
            <w:r>
              <w:rPr>
                <w:rFonts w:hint="eastAsia" w:ascii="仿宋_GB2312" w:hAnsi="仿宋" w:eastAsia="仿宋_GB2312" w:cs="仿宋_GB2312"/>
                <w:color w:val="000000"/>
                <w:kern w:val="0"/>
                <w:sz w:val="24"/>
                <w:lang w:bidi="ar"/>
              </w:rPr>
              <w:t>的要求</w:t>
            </w:r>
          </w:p>
        </w:tc>
        <w:tc>
          <w:tcPr>
            <w:tcW w:w="1587" w:type="dxa"/>
            <w:tcBorders>
              <w:tl2br w:val="nil"/>
              <w:tr2bl w:val="nil"/>
            </w:tcBorders>
            <w:tcMar>
              <w:top w:w="17" w:type="dxa"/>
              <w:left w:w="57" w:type="dxa"/>
              <w:bottom w:w="17" w:type="dxa"/>
              <w:right w:w="57" w:type="dxa"/>
            </w:tcMar>
            <w:vAlign w:val="center"/>
          </w:tcPr>
          <w:p w14:paraId="77774C3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人员卫生管控制度中明确工作服管控频次，建议每日进行</w:t>
            </w:r>
          </w:p>
        </w:tc>
        <w:tc>
          <w:tcPr>
            <w:tcW w:w="680" w:type="dxa"/>
            <w:tcBorders>
              <w:tl2br w:val="nil"/>
              <w:tr2bl w:val="nil"/>
            </w:tcBorders>
            <w:tcMar>
              <w:top w:w="17" w:type="dxa"/>
              <w:left w:w="57" w:type="dxa"/>
              <w:bottom w:w="17" w:type="dxa"/>
              <w:right w:w="57" w:type="dxa"/>
            </w:tcMar>
            <w:vAlign w:val="center"/>
          </w:tcPr>
          <w:p w14:paraId="75BD83B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4F156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454" w:hRule="atLeast"/>
          <w:jc w:val="center"/>
        </w:trPr>
        <w:tc>
          <w:tcPr>
            <w:tcW w:w="624" w:type="dxa"/>
            <w:vMerge w:val="continue"/>
            <w:tcBorders>
              <w:tl2br w:val="nil"/>
              <w:tr2bl w:val="nil"/>
            </w:tcBorders>
            <w:tcMar>
              <w:top w:w="17" w:type="dxa"/>
              <w:left w:w="57" w:type="dxa"/>
              <w:bottom w:w="17" w:type="dxa"/>
              <w:right w:w="57" w:type="dxa"/>
            </w:tcMar>
            <w:vAlign w:val="center"/>
          </w:tcPr>
          <w:p w14:paraId="67BCA99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624" w:type="dxa"/>
            <w:vMerge w:val="continue"/>
            <w:tcBorders>
              <w:tl2br w:val="nil"/>
              <w:tr2bl w:val="nil"/>
            </w:tcBorders>
            <w:tcMar>
              <w:top w:w="17" w:type="dxa"/>
              <w:left w:w="57" w:type="dxa"/>
              <w:bottom w:w="17" w:type="dxa"/>
              <w:right w:w="57" w:type="dxa"/>
            </w:tcMar>
            <w:vAlign w:val="center"/>
          </w:tcPr>
          <w:p w14:paraId="0D06F50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14:paraId="40B6212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检验控制</w:t>
            </w:r>
          </w:p>
        </w:tc>
        <w:tc>
          <w:tcPr>
            <w:tcW w:w="850" w:type="dxa"/>
            <w:vMerge w:val="restart"/>
            <w:tcBorders>
              <w:tl2br w:val="nil"/>
              <w:tr2bl w:val="nil"/>
            </w:tcBorders>
            <w:tcMar>
              <w:top w:w="17" w:type="dxa"/>
              <w:left w:w="57" w:type="dxa"/>
              <w:bottom w:w="17" w:type="dxa"/>
              <w:right w:w="57" w:type="dxa"/>
            </w:tcMar>
            <w:vAlign w:val="center"/>
          </w:tcPr>
          <w:p w14:paraId="0435350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产品检验环节</w:t>
            </w:r>
          </w:p>
        </w:tc>
        <w:tc>
          <w:tcPr>
            <w:tcW w:w="850" w:type="dxa"/>
            <w:tcBorders>
              <w:tl2br w:val="nil"/>
              <w:tr2bl w:val="nil"/>
            </w:tcBorders>
            <w:tcMar>
              <w:top w:w="17" w:type="dxa"/>
              <w:left w:w="57" w:type="dxa"/>
              <w:bottom w:w="17" w:type="dxa"/>
              <w:right w:w="57" w:type="dxa"/>
            </w:tcMar>
            <w:vAlign w:val="center"/>
          </w:tcPr>
          <w:p w14:paraId="1A9CEEE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检验能力及计量</w:t>
            </w:r>
          </w:p>
        </w:tc>
        <w:tc>
          <w:tcPr>
            <w:tcW w:w="2835" w:type="dxa"/>
            <w:tcBorders>
              <w:tl2br w:val="nil"/>
              <w:tr2bl w:val="nil"/>
            </w:tcBorders>
            <w:tcMar>
              <w:top w:w="17" w:type="dxa"/>
              <w:left w:w="57" w:type="dxa"/>
              <w:bottom w:w="17" w:type="dxa"/>
              <w:right w:w="57" w:type="dxa"/>
            </w:tcMar>
            <w:vAlign w:val="center"/>
          </w:tcPr>
          <w:p w14:paraId="7B804873">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实验室的检验能力不足，不能及时发现半成品、成品指标异常，导致不合格产品出厂。</w:t>
            </w:r>
          </w:p>
        </w:tc>
        <w:tc>
          <w:tcPr>
            <w:tcW w:w="3402" w:type="dxa"/>
            <w:tcBorders>
              <w:tl2br w:val="nil"/>
              <w:tr2bl w:val="nil"/>
            </w:tcBorders>
            <w:tcMar>
              <w:top w:w="17" w:type="dxa"/>
              <w:left w:w="57" w:type="dxa"/>
              <w:bottom w:w="17" w:type="dxa"/>
              <w:right w:w="57" w:type="dxa"/>
            </w:tcMar>
            <w:vAlign w:val="center"/>
          </w:tcPr>
          <w:p w14:paraId="6C0F421B">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具备与自检项目适应的检验能力，能力涵盖人机料法环等方面，并定期参加能力验证，检验设备按期检定或校准，确保检测结果的准确性。</w:t>
            </w:r>
          </w:p>
        </w:tc>
        <w:tc>
          <w:tcPr>
            <w:tcW w:w="1077" w:type="dxa"/>
            <w:tcBorders>
              <w:tl2br w:val="nil"/>
              <w:tr2bl w:val="nil"/>
            </w:tcBorders>
            <w:tcMar>
              <w:top w:w="17" w:type="dxa"/>
              <w:left w:w="57" w:type="dxa"/>
              <w:bottom w:w="17" w:type="dxa"/>
              <w:right w:w="57" w:type="dxa"/>
            </w:tcMar>
            <w:vAlign w:val="center"/>
          </w:tcPr>
          <w:p w14:paraId="1107C68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检测结果准确</w:t>
            </w:r>
          </w:p>
        </w:tc>
        <w:tc>
          <w:tcPr>
            <w:tcW w:w="1587" w:type="dxa"/>
            <w:tcBorders>
              <w:tl2br w:val="nil"/>
              <w:tr2bl w:val="nil"/>
            </w:tcBorders>
            <w:tcMar>
              <w:top w:w="17" w:type="dxa"/>
              <w:left w:w="57" w:type="dxa"/>
              <w:bottom w:w="17" w:type="dxa"/>
              <w:right w:w="57" w:type="dxa"/>
            </w:tcMar>
            <w:vAlign w:val="center"/>
          </w:tcPr>
          <w:p w14:paraId="2290A94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检验管理制度中明确管控频次，建议每年进行</w:t>
            </w:r>
          </w:p>
        </w:tc>
        <w:tc>
          <w:tcPr>
            <w:tcW w:w="680" w:type="dxa"/>
            <w:tcBorders>
              <w:tl2br w:val="nil"/>
              <w:tr2bl w:val="nil"/>
            </w:tcBorders>
            <w:tcMar>
              <w:top w:w="17" w:type="dxa"/>
              <w:left w:w="57" w:type="dxa"/>
              <w:bottom w:w="17" w:type="dxa"/>
              <w:right w:w="57" w:type="dxa"/>
            </w:tcMar>
            <w:vAlign w:val="center"/>
          </w:tcPr>
          <w:p w14:paraId="6BFEE23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5445B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325" w:hRule="atLeast"/>
          <w:jc w:val="center"/>
        </w:trPr>
        <w:tc>
          <w:tcPr>
            <w:tcW w:w="624" w:type="dxa"/>
            <w:vMerge w:val="continue"/>
            <w:tcBorders>
              <w:tl2br w:val="nil"/>
              <w:tr2bl w:val="nil"/>
            </w:tcBorders>
            <w:tcMar>
              <w:top w:w="17" w:type="dxa"/>
              <w:left w:w="57" w:type="dxa"/>
              <w:bottom w:w="17" w:type="dxa"/>
              <w:right w:w="57" w:type="dxa"/>
            </w:tcMar>
            <w:vAlign w:val="center"/>
          </w:tcPr>
          <w:p w14:paraId="7603AD0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6AB05EA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702825D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continue"/>
            <w:tcBorders>
              <w:tl2br w:val="nil"/>
              <w:tr2bl w:val="nil"/>
            </w:tcBorders>
            <w:tcMar>
              <w:top w:w="17" w:type="dxa"/>
              <w:left w:w="57" w:type="dxa"/>
              <w:bottom w:w="17" w:type="dxa"/>
              <w:right w:w="57" w:type="dxa"/>
            </w:tcMar>
            <w:vAlign w:val="center"/>
          </w:tcPr>
          <w:p w14:paraId="50BA1E4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0726896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对委托检测机构的选择与管理</w:t>
            </w:r>
          </w:p>
        </w:tc>
        <w:tc>
          <w:tcPr>
            <w:tcW w:w="2835" w:type="dxa"/>
            <w:tcBorders>
              <w:tl2br w:val="nil"/>
              <w:tr2bl w:val="nil"/>
            </w:tcBorders>
            <w:tcMar>
              <w:top w:w="17" w:type="dxa"/>
              <w:left w:w="57" w:type="dxa"/>
              <w:bottom w:w="17" w:type="dxa"/>
              <w:right w:w="57" w:type="dxa"/>
            </w:tcMar>
            <w:vAlign w:val="center"/>
          </w:tcPr>
          <w:p w14:paraId="361E9779">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委托的食品检测机构能力不足而导致不合格产品出厂。</w:t>
            </w:r>
          </w:p>
        </w:tc>
        <w:tc>
          <w:tcPr>
            <w:tcW w:w="3402" w:type="dxa"/>
            <w:tcBorders>
              <w:tl2br w:val="nil"/>
              <w:tr2bl w:val="nil"/>
            </w:tcBorders>
            <w:tcMar>
              <w:top w:w="17" w:type="dxa"/>
              <w:left w:w="57" w:type="dxa"/>
              <w:bottom w:w="17" w:type="dxa"/>
              <w:right w:w="57" w:type="dxa"/>
            </w:tcMar>
            <w:vAlign w:val="center"/>
          </w:tcPr>
          <w:p w14:paraId="23349EE9">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委托有资质的检验机构进行检验，有能力的企业定期查阅检测原始记录，并进行实验室间结果比对。</w:t>
            </w:r>
          </w:p>
        </w:tc>
        <w:tc>
          <w:tcPr>
            <w:tcW w:w="1077" w:type="dxa"/>
            <w:tcBorders>
              <w:tl2br w:val="nil"/>
              <w:tr2bl w:val="nil"/>
            </w:tcBorders>
            <w:tcMar>
              <w:top w:w="17" w:type="dxa"/>
              <w:left w:w="57" w:type="dxa"/>
              <w:bottom w:w="17" w:type="dxa"/>
              <w:right w:w="57" w:type="dxa"/>
            </w:tcMar>
            <w:vAlign w:val="center"/>
          </w:tcPr>
          <w:p w14:paraId="08AFD7E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第三方检测机构检测结果准确</w:t>
            </w:r>
          </w:p>
        </w:tc>
        <w:tc>
          <w:tcPr>
            <w:tcW w:w="1587" w:type="dxa"/>
            <w:tcBorders>
              <w:tl2br w:val="nil"/>
              <w:tr2bl w:val="nil"/>
            </w:tcBorders>
            <w:tcMar>
              <w:top w:w="17" w:type="dxa"/>
              <w:left w:w="57" w:type="dxa"/>
              <w:bottom w:w="17" w:type="dxa"/>
              <w:right w:w="57" w:type="dxa"/>
            </w:tcMar>
            <w:vAlign w:val="center"/>
          </w:tcPr>
          <w:p w14:paraId="4AF5D47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检验管理制度中明确管控频次，建议每年进行</w:t>
            </w:r>
          </w:p>
        </w:tc>
        <w:tc>
          <w:tcPr>
            <w:tcW w:w="680" w:type="dxa"/>
            <w:tcBorders>
              <w:tl2br w:val="nil"/>
              <w:tr2bl w:val="nil"/>
            </w:tcBorders>
            <w:tcMar>
              <w:top w:w="17" w:type="dxa"/>
              <w:left w:w="57" w:type="dxa"/>
              <w:bottom w:w="17" w:type="dxa"/>
              <w:right w:w="57" w:type="dxa"/>
            </w:tcMar>
            <w:vAlign w:val="center"/>
          </w:tcPr>
          <w:p w14:paraId="751B293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43817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033" w:hRule="atLeast"/>
          <w:jc w:val="center"/>
        </w:trPr>
        <w:tc>
          <w:tcPr>
            <w:tcW w:w="624" w:type="dxa"/>
            <w:vMerge w:val="continue"/>
            <w:tcBorders>
              <w:tl2br w:val="nil"/>
              <w:tr2bl w:val="nil"/>
            </w:tcBorders>
            <w:tcMar>
              <w:top w:w="17" w:type="dxa"/>
              <w:left w:w="57" w:type="dxa"/>
              <w:bottom w:w="17" w:type="dxa"/>
              <w:right w:w="57" w:type="dxa"/>
            </w:tcMar>
            <w:vAlign w:val="center"/>
          </w:tcPr>
          <w:p w14:paraId="3C90F0E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5BE19BF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6C14879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continue"/>
            <w:tcBorders>
              <w:tl2br w:val="nil"/>
              <w:tr2bl w:val="nil"/>
            </w:tcBorders>
            <w:tcMar>
              <w:top w:w="17" w:type="dxa"/>
              <w:left w:w="57" w:type="dxa"/>
              <w:bottom w:w="17" w:type="dxa"/>
              <w:right w:w="57" w:type="dxa"/>
            </w:tcMar>
            <w:vAlign w:val="center"/>
          </w:tcPr>
          <w:p w14:paraId="1D04E5C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11C15A4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检测记录</w:t>
            </w:r>
          </w:p>
        </w:tc>
        <w:tc>
          <w:tcPr>
            <w:tcW w:w="2835" w:type="dxa"/>
            <w:tcBorders>
              <w:tl2br w:val="nil"/>
              <w:tr2bl w:val="nil"/>
            </w:tcBorders>
            <w:tcMar>
              <w:top w:w="17" w:type="dxa"/>
              <w:left w:w="57" w:type="dxa"/>
              <w:bottom w:w="17" w:type="dxa"/>
              <w:right w:w="57" w:type="dxa"/>
            </w:tcMar>
            <w:vAlign w:val="center"/>
          </w:tcPr>
          <w:p w14:paraId="12E3A96D">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.出厂检验报告不规范（如生产日期、取样日期、检验日期混淆，缺少检验依据）。</w:t>
            </w:r>
          </w:p>
          <w:p w14:paraId="59728F04">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.缺少出厂检验原始记录。</w:t>
            </w:r>
          </w:p>
        </w:tc>
        <w:tc>
          <w:tcPr>
            <w:tcW w:w="3402" w:type="dxa"/>
            <w:tcBorders>
              <w:tl2br w:val="nil"/>
              <w:tr2bl w:val="nil"/>
            </w:tcBorders>
            <w:tcMar>
              <w:top w:w="17" w:type="dxa"/>
              <w:left w:w="57" w:type="dxa"/>
              <w:bottom w:w="17" w:type="dxa"/>
              <w:right w:w="57" w:type="dxa"/>
            </w:tcMar>
            <w:vAlign w:val="center"/>
          </w:tcPr>
          <w:p w14:paraId="23A442CA">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.出厂检验报告应与生产记录、产品入库记录的批次相一致。</w:t>
            </w:r>
          </w:p>
          <w:p w14:paraId="1A5071E6">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.出厂检验报告中的检验结果应有相对应的原始检验记录。</w:t>
            </w:r>
          </w:p>
          <w:p w14:paraId="541386AA">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_GB2312" w:hAnsi="仿宋" w:eastAsia="仿宋_GB2312" w:cs="仿宋_GB2312"/>
                <w:color w:val="000000"/>
                <w:kern w:val="0"/>
                <w:sz w:val="24"/>
                <w:lang w:bidi="ar"/>
              </w:rPr>
              <w:t>.企业出厂检验报告及原始记录应真实、完整、清晰。</w:t>
            </w:r>
          </w:p>
          <w:p w14:paraId="0C71527A">
            <w:pPr>
              <w:keepNext w:val="0"/>
              <w:keepLines w:val="0"/>
              <w:pageBreakBefore w:val="0"/>
              <w:widowControl w:val="0"/>
              <w:kinsoku/>
              <w:wordWrap/>
              <w:overflowPunct w:val="0"/>
              <w:topLinePunct w:val="0"/>
              <w:autoSpaceDE/>
              <w:autoSpaceDN/>
              <w:bidi w:val="0"/>
              <w:adjustRightInd w:val="0"/>
              <w:snapToGrid w:val="0"/>
              <w:spacing w:line="26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_GB2312" w:hAnsi="仿宋" w:eastAsia="仿宋_GB2312" w:cs="仿宋_GB2312"/>
                <w:color w:val="000000"/>
                <w:kern w:val="0"/>
                <w:sz w:val="24"/>
                <w:lang w:bidi="ar"/>
              </w:rPr>
              <w:t>.出厂检验报告一般应注明产品名称、规格、数量、生产日期、生产批号、执行标准、检验结论、检验合格证号或检验报告编号、检验时间等基本信息。</w:t>
            </w:r>
          </w:p>
        </w:tc>
        <w:tc>
          <w:tcPr>
            <w:tcW w:w="1077" w:type="dxa"/>
            <w:tcBorders>
              <w:tl2br w:val="nil"/>
              <w:tr2bl w:val="nil"/>
            </w:tcBorders>
            <w:tcMar>
              <w:top w:w="17" w:type="dxa"/>
              <w:left w:w="57" w:type="dxa"/>
              <w:bottom w:w="17" w:type="dxa"/>
              <w:right w:w="57" w:type="dxa"/>
            </w:tcMar>
            <w:vAlign w:val="center"/>
          </w:tcPr>
          <w:p w14:paraId="1CC5F14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检测报告真实、准确、完整</w:t>
            </w:r>
          </w:p>
        </w:tc>
        <w:tc>
          <w:tcPr>
            <w:tcW w:w="1587" w:type="dxa"/>
            <w:tcBorders>
              <w:tl2br w:val="nil"/>
              <w:tr2bl w:val="nil"/>
            </w:tcBorders>
            <w:tcMar>
              <w:top w:w="17" w:type="dxa"/>
              <w:left w:w="57" w:type="dxa"/>
              <w:bottom w:w="17" w:type="dxa"/>
              <w:right w:w="57" w:type="dxa"/>
            </w:tcMar>
            <w:vAlign w:val="center"/>
          </w:tcPr>
          <w:p w14:paraId="604E26A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检验管理制度中明确管控频次，建议每次进行</w:t>
            </w:r>
          </w:p>
        </w:tc>
        <w:tc>
          <w:tcPr>
            <w:tcW w:w="680" w:type="dxa"/>
            <w:tcBorders>
              <w:tl2br w:val="nil"/>
              <w:tr2bl w:val="nil"/>
            </w:tcBorders>
            <w:tcMar>
              <w:top w:w="17" w:type="dxa"/>
              <w:left w:w="57" w:type="dxa"/>
              <w:bottom w:w="17" w:type="dxa"/>
              <w:right w:w="57" w:type="dxa"/>
            </w:tcMar>
            <w:vAlign w:val="center"/>
          </w:tcPr>
          <w:p w14:paraId="23FD320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5EEA3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745" w:hRule="atLeast"/>
          <w:jc w:val="center"/>
        </w:trPr>
        <w:tc>
          <w:tcPr>
            <w:tcW w:w="624" w:type="dxa"/>
            <w:vMerge w:val="continue"/>
            <w:tcBorders>
              <w:tl2br w:val="nil"/>
              <w:tr2bl w:val="nil"/>
            </w:tcBorders>
            <w:tcMar>
              <w:top w:w="17" w:type="dxa"/>
              <w:left w:w="57" w:type="dxa"/>
              <w:bottom w:w="17" w:type="dxa"/>
              <w:right w:w="57" w:type="dxa"/>
            </w:tcMar>
            <w:vAlign w:val="center"/>
          </w:tcPr>
          <w:p w14:paraId="02CF1E2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624" w:type="dxa"/>
            <w:vMerge w:val="continue"/>
            <w:tcBorders>
              <w:tl2br w:val="nil"/>
              <w:tr2bl w:val="nil"/>
            </w:tcBorders>
            <w:tcMar>
              <w:top w:w="17" w:type="dxa"/>
              <w:left w:w="57" w:type="dxa"/>
              <w:bottom w:w="17" w:type="dxa"/>
              <w:right w:w="57" w:type="dxa"/>
            </w:tcMar>
            <w:vAlign w:val="center"/>
          </w:tcPr>
          <w:p w14:paraId="64F44C9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14:paraId="4926D9D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贮存、运输与交付控制</w:t>
            </w:r>
          </w:p>
        </w:tc>
        <w:tc>
          <w:tcPr>
            <w:tcW w:w="850" w:type="dxa"/>
            <w:vMerge w:val="restart"/>
            <w:tcBorders>
              <w:tl2br w:val="nil"/>
              <w:tr2bl w:val="nil"/>
            </w:tcBorders>
            <w:tcMar>
              <w:top w:w="17" w:type="dxa"/>
              <w:left w:w="57" w:type="dxa"/>
              <w:bottom w:w="17" w:type="dxa"/>
              <w:right w:w="57" w:type="dxa"/>
            </w:tcMar>
            <w:vAlign w:val="center"/>
          </w:tcPr>
          <w:p w14:paraId="7DC9450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贮存环节</w:t>
            </w:r>
          </w:p>
        </w:tc>
        <w:tc>
          <w:tcPr>
            <w:tcW w:w="850" w:type="dxa"/>
            <w:tcBorders>
              <w:tl2br w:val="nil"/>
              <w:tr2bl w:val="nil"/>
            </w:tcBorders>
            <w:tcMar>
              <w:top w:w="17" w:type="dxa"/>
              <w:left w:w="57" w:type="dxa"/>
              <w:bottom w:w="17" w:type="dxa"/>
              <w:right w:w="57" w:type="dxa"/>
            </w:tcMar>
            <w:vAlign w:val="center"/>
          </w:tcPr>
          <w:p w14:paraId="11A313B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原辅料和包装材料错用或混用</w:t>
            </w:r>
          </w:p>
        </w:tc>
        <w:tc>
          <w:tcPr>
            <w:tcW w:w="2835" w:type="dxa"/>
            <w:tcBorders>
              <w:tl2br w:val="nil"/>
              <w:tr2bl w:val="nil"/>
            </w:tcBorders>
            <w:tcMar>
              <w:top w:w="17" w:type="dxa"/>
              <w:left w:w="57" w:type="dxa"/>
              <w:bottom w:w="17" w:type="dxa"/>
              <w:right w:w="57" w:type="dxa"/>
            </w:tcMar>
            <w:vAlign w:val="center"/>
          </w:tcPr>
          <w:p w14:paraId="283867BF">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对原辅料和包材贮存管理不规范，原辅料和包装材料无标识标签，易造成错用或混用。</w:t>
            </w:r>
          </w:p>
        </w:tc>
        <w:tc>
          <w:tcPr>
            <w:tcW w:w="3402" w:type="dxa"/>
            <w:tcBorders>
              <w:tl2br w:val="nil"/>
              <w:tr2bl w:val="nil"/>
            </w:tcBorders>
            <w:tcMar>
              <w:top w:w="17" w:type="dxa"/>
              <w:left w:w="57" w:type="dxa"/>
              <w:bottom w:w="17" w:type="dxa"/>
              <w:right w:w="57" w:type="dxa"/>
            </w:tcMar>
            <w:vAlign w:val="center"/>
          </w:tcPr>
          <w:p w14:paraId="7B6429A3">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.严格执行仓库管理制度的要求，落实原辅料和包材的存储要求。</w:t>
            </w:r>
          </w:p>
          <w:p w14:paraId="7AED0F2A">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.加强员工培训和管理，加强原辅料和包装材料标签标识管理。</w:t>
            </w:r>
          </w:p>
        </w:tc>
        <w:tc>
          <w:tcPr>
            <w:tcW w:w="1077" w:type="dxa"/>
            <w:tcBorders>
              <w:tl2br w:val="nil"/>
              <w:tr2bl w:val="nil"/>
            </w:tcBorders>
            <w:tcMar>
              <w:top w:w="17" w:type="dxa"/>
              <w:left w:w="57" w:type="dxa"/>
              <w:bottom w:w="17" w:type="dxa"/>
              <w:right w:w="57" w:type="dxa"/>
            </w:tcMar>
            <w:vAlign w:val="center"/>
          </w:tcPr>
          <w:p w14:paraId="5556B3CB">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符合企业原辅料和包装材料管理要求</w:t>
            </w:r>
          </w:p>
        </w:tc>
        <w:tc>
          <w:tcPr>
            <w:tcW w:w="1587" w:type="dxa"/>
            <w:tcBorders>
              <w:tl2br w:val="nil"/>
              <w:tr2bl w:val="nil"/>
            </w:tcBorders>
            <w:tcMar>
              <w:top w:w="17" w:type="dxa"/>
              <w:left w:w="57" w:type="dxa"/>
              <w:bottom w:w="17" w:type="dxa"/>
              <w:right w:w="57" w:type="dxa"/>
            </w:tcMar>
            <w:vAlign w:val="center"/>
          </w:tcPr>
          <w:p w14:paraId="71BFD7C1">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仓储管控制度中明确管控频次，建议每日进行</w:t>
            </w:r>
          </w:p>
        </w:tc>
        <w:tc>
          <w:tcPr>
            <w:tcW w:w="680" w:type="dxa"/>
            <w:tcBorders>
              <w:tl2br w:val="nil"/>
              <w:tr2bl w:val="nil"/>
            </w:tcBorders>
            <w:tcMar>
              <w:top w:w="17" w:type="dxa"/>
              <w:left w:w="57" w:type="dxa"/>
              <w:bottom w:w="17" w:type="dxa"/>
              <w:right w:w="57" w:type="dxa"/>
            </w:tcMar>
            <w:vAlign w:val="center"/>
          </w:tcPr>
          <w:p w14:paraId="546BD60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3F1D8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760" w:hRule="atLeast"/>
          <w:jc w:val="center"/>
        </w:trPr>
        <w:tc>
          <w:tcPr>
            <w:tcW w:w="624" w:type="dxa"/>
            <w:vMerge w:val="continue"/>
            <w:tcBorders>
              <w:tl2br w:val="nil"/>
              <w:tr2bl w:val="nil"/>
            </w:tcBorders>
            <w:tcMar>
              <w:top w:w="17" w:type="dxa"/>
              <w:left w:w="57" w:type="dxa"/>
              <w:bottom w:w="17" w:type="dxa"/>
              <w:right w:w="57" w:type="dxa"/>
            </w:tcMar>
            <w:vAlign w:val="center"/>
          </w:tcPr>
          <w:p w14:paraId="689943D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1C76C5C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60E5931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continue"/>
            <w:tcBorders>
              <w:tl2br w:val="nil"/>
              <w:tr2bl w:val="nil"/>
            </w:tcBorders>
            <w:tcMar>
              <w:top w:w="17" w:type="dxa"/>
              <w:left w:w="57" w:type="dxa"/>
              <w:bottom w:w="17" w:type="dxa"/>
              <w:right w:w="57" w:type="dxa"/>
            </w:tcMar>
            <w:vAlign w:val="center"/>
          </w:tcPr>
          <w:p w14:paraId="673C84C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7125E22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包材和辅料堆放</w:t>
            </w:r>
          </w:p>
        </w:tc>
        <w:tc>
          <w:tcPr>
            <w:tcW w:w="2835" w:type="dxa"/>
            <w:tcBorders>
              <w:tl2br w:val="nil"/>
              <w:tr2bl w:val="nil"/>
            </w:tcBorders>
            <w:tcMar>
              <w:top w:w="17" w:type="dxa"/>
              <w:left w:w="57" w:type="dxa"/>
              <w:bottom w:w="17" w:type="dxa"/>
              <w:right w:w="57" w:type="dxa"/>
            </w:tcMar>
            <w:vAlign w:val="center"/>
          </w:tcPr>
          <w:p w14:paraId="011E072C">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.包材等体积较大原辅料，仓库容量无法满足要求，在过道或简易半开放的场所，易污染。</w:t>
            </w:r>
          </w:p>
          <w:p w14:paraId="33A83D36">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.包材和原辅料进货量较大，使用周期长，存储场所无法满足要求。</w:t>
            </w:r>
          </w:p>
        </w:tc>
        <w:tc>
          <w:tcPr>
            <w:tcW w:w="3402" w:type="dxa"/>
            <w:tcBorders>
              <w:tl2br w:val="nil"/>
              <w:tr2bl w:val="nil"/>
            </w:tcBorders>
            <w:tcMar>
              <w:top w:w="17" w:type="dxa"/>
              <w:left w:w="57" w:type="dxa"/>
              <w:bottom w:w="17" w:type="dxa"/>
              <w:right w:w="57" w:type="dxa"/>
            </w:tcMar>
            <w:vAlign w:val="center"/>
          </w:tcPr>
          <w:p w14:paraId="6C7782BC">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.根据企业经营状况合理配置仓库容积，避免在过道、露天、半露天堆放包材及原辅料。</w:t>
            </w:r>
          </w:p>
          <w:p w14:paraId="40323077">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.包材等体积较大的辅料根据生产和仓储容积情况合理安排采购。</w:t>
            </w:r>
          </w:p>
        </w:tc>
        <w:tc>
          <w:tcPr>
            <w:tcW w:w="1077" w:type="dxa"/>
            <w:tcBorders>
              <w:tl2br w:val="nil"/>
              <w:tr2bl w:val="nil"/>
            </w:tcBorders>
            <w:tcMar>
              <w:top w:w="17" w:type="dxa"/>
              <w:left w:w="57" w:type="dxa"/>
              <w:bottom w:w="17" w:type="dxa"/>
              <w:right w:w="57" w:type="dxa"/>
            </w:tcMar>
            <w:vAlign w:val="center"/>
          </w:tcPr>
          <w:p w14:paraId="0AF7A44D">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符合企业原辅料和包装材料贮存要求</w:t>
            </w:r>
          </w:p>
        </w:tc>
        <w:tc>
          <w:tcPr>
            <w:tcW w:w="1587" w:type="dxa"/>
            <w:tcBorders>
              <w:tl2br w:val="nil"/>
              <w:tr2bl w:val="nil"/>
            </w:tcBorders>
            <w:tcMar>
              <w:top w:w="17" w:type="dxa"/>
              <w:left w:w="57" w:type="dxa"/>
              <w:bottom w:w="17" w:type="dxa"/>
              <w:right w:w="57" w:type="dxa"/>
            </w:tcMar>
            <w:vAlign w:val="center"/>
          </w:tcPr>
          <w:p w14:paraId="26C2CC7C">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仓储管控制度中明确管控频次，建议每日进行</w:t>
            </w:r>
          </w:p>
        </w:tc>
        <w:tc>
          <w:tcPr>
            <w:tcW w:w="680" w:type="dxa"/>
            <w:tcBorders>
              <w:tl2br w:val="nil"/>
              <w:tr2bl w:val="nil"/>
            </w:tcBorders>
            <w:tcMar>
              <w:top w:w="17" w:type="dxa"/>
              <w:left w:w="57" w:type="dxa"/>
              <w:bottom w:w="17" w:type="dxa"/>
              <w:right w:w="57" w:type="dxa"/>
            </w:tcMar>
            <w:vAlign w:val="center"/>
          </w:tcPr>
          <w:p w14:paraId="0398114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10D05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566" w:hRule="atLeast"/>
          <w:jc w:val="center"/>
        </w:trPr>
        <w:tc>
          <w:tcPr>
            <w:tcW w:w="624" w:type="dxa"/>
            <w:vMerge w:val="continue"/>
            <w:tcBorders>
              <w:tl2br w:val="nil"/>
              <w:tr2bl w:val="nil"/>
            </w:tcBorders>
            <w:tcMar>
              <w:top w:w="17" w:type="dxa"/>
              <w:left w:w="57" w:type="dxa"/>
              <w:bottom w:w="17" w:type="dxa"/>
              <w:right w:w="57" w:type="dxa"/>
            </w:tcMar>
            <w:vAlign w:val="center"/>
          </w:tcPr>
          <w:p w14:paraId="65E4A62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1F5EE2E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13D1282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continue"/>
            <w:tcBorders>
              <w:tl2br w:val="nil"/>
              <w:tr2bl w:val="nil"/>
            </w:tcBorders>
            <w:tcMar>
              <w:top w:w="17" w:type="dxa"/>
              <w:left w:w="57" w:type="dxa"/>
              <w:bottom w:w="17" w:type="dxa"/>
              <w:right w:w="57" w:type="dxa"/>
            </w:tcMar>
            <w:vAlign w:val="center"/>
          </w:tcPr>
          <w:p w14:paraId="0611CD8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51D21C0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_GB2312" w:eastAsia="仿宋_GB2312" w:cs="仿宋_GB2312"/>
                <w:color w:val="000000"/>
                <w:kern w:val="0"/>
                <w:sz w:val="24"/>
                <w:lang w:bidi="ar"/>
              </w:rPr>
              <w:t>库房的</w:t>
            </w:r>
            <w:r>
              <w:rPr>
                <w:rStyle w:val="10"/>
                <w:rFonts w:hint="eastAsia" w:ascii="仿宋_GB2312" w:hAnsi="仿宋_GB2312" w:eastAsia="仿宋_GB2312" w:cs="仿宋_GB2312"/>
                <w:color w:val="000000"/>
                <w:sz w:val="24"/>
              </w:rPr>
              <w:t>温度、湿度及</w:t>
            </w:r>
            <w:r>
              <w:rPr>
                <w:rFonts w:hint="eastAsia" w:ascii="仿宋_GB2312" w:hAnsi="仿宋_GB2312" w:eastAsia="仿宋_GB2312" w:cs="仿宋_GB2312"/>
                <w:color w:val="000000"/>
                <w:kern w:val="0"/>
                <w:sz w:val="24"/>
                <w:lang w:bidi="ar"/>
              </w:rPr>
              <w:t>清洁</w:t>
            </w:r>
          </w:p>
        </w:tc>
        <w:tc>
          <w:tcPr>
            <w:tcW w:w="2835" w:type="dxa"/>
            <w:tcBorders>
              <w:tl2br w:val="nil"/>
              <w:tr2bl w:val="nil"/>
            </w:tcBorders>
            <w:tcMar>
              <w:top w:w="17" w:type="dxa"/>
              <w:left w:w="57" w:type="dxa"/>
              <w:bottom w:w="17" w:type="dxa"/>
              <w:right w:w="57" w:type="dxa"/>
            </w:tcMar>
            <w:vAlign w:val="center"/>
          </w:tcPr>
          <w:p w14:paraId="0E0F7667">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.库房湿度过大，造成产品结块。</w:t>
            </w:r>
          </w:p>
          <w:p w14:paraId="474C6813">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.温度波动过大，造成产品质量不稳定。</w:t>
            </w:r>
          </w:p>
        </w:tc>
        <w:tc>
          <w:tcPr>
            <w:tcW w:w="3402" w:type="dxa"/>
            <w:tcBorders>
              <w:tl2br w:val="nil"/>
              <w:tr2bl w:val="nil"/>
            </w:tcBorders>
            <w:tcMar>
              <w:top w:w="17" w:type="dxa"/>
              <w:left w:w="57" w:type="dxa"/>
              <w:bottom w:w="17" w:type="dxa"/>
              <w:right w:w="57" w:type="dxa"/>
            </w:tcMar>
            <w:vAlign w:val="center"/>
          </w:tcPr>
          <w:p w14:paraId="490030D9">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.增加温</w:t>
            </w:r>
            <w:r>
              <w:rPr>
                <w:rStyle w:val="10"/>
                <w:rFonts w:hint="eastAsia" w:ascii="仿宋_GB2312" w:hAnsi="仿宋_GB2312" w:eastAsia="仿宋_GB2312" w:cs="仿宋_GB2312"/>
                <w:color w:val="000000"/>
                <w:sz w:val="24"/>
              </w:rPr>
              <w:t>度、</w:t>
            </w:r>
            <w:r>
              <w:rPr>
                <w:rFonts w:hint="eastAsia" w:ascii="仿宋_GB2312" w:hAnsi="仿宋" w:eastAsia="仿宋_GB2312" w:cs="仿宋_GB2312"/>
                <w:color w:val="000000"/>
                <w:kern w:val="0"/>
                <w:sz w:val="24"/>
                <w:lang w:bidi="ar"/>
              </w:rPr>
              <w:t>湿度控制措施，及时监控温湿度变化。</w:t>
            </w:r>
          </w:p>
          <w:p w14:paraId="26538F12">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.温</w:t>
            </w:r>
            <w:r>
              <w:rPr>
                <w:rStyle w:val="10"/>
                <w:rFonts w:hint="eastAsia" w:ascii="仿宋_GB2312" w:hAnsi="仿宋_GB2312" w:eastAsia="仿宋_GB2312" w:cs="仿宋_GB2312"/>
                <w:color w:val="000000"/>
                <w:sz w:val="24"/>
              </w:rPr>
              <w:t>度、</w:t>
            </w:r>
            <w:r>
              <w:rPr>
                <w:rFonts w:hint="eastAsia" w:ascii="仿宋_GB2312" w:hAnsi="仿宋" w:eastAsia="仿宋_GB2312" w:cs="仿宋_GB2312"/>
                <w:color w:val="000000"/>
                <w:kern w:val="0"/>
                <w:sz w:val="24"/>
                <w:lang w:bidi="ar"/>
              </w:rPr>
              <w:t>湿度异常时及时控制，并对内部产品进行评估后处理。</w:t>
            </w:r>
          </w:p>
        </w:tc>
        <w:tc>
          <w:tcPr>
            <w:tcW w:w="1077" w:type="dxa"/>
            <w:tcBorders>
              <w:tl2br w:val="nil"/>
              <w:tr2bl w:val="nil"/>
            </w:tcBorders>
            <w:tcMar>
              <w:top w:w="17" w:type="dxa"/>
              <w:left w:w="57" w:type="dxa"/>
              <w:bottom w:w="17" w:type="dxa"/>
              <w:right w:w="57" w:type="dxa"/>
            </w:tcMar>
            <w:vAlign w:val="center"/>
          </w:tcPr>
          <w:p w14:paraId="0D0DCFA9">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符合原料及成品存储要求</w:t>
            </w:r>
          </w:p>
        </w:tc>
        <w:tc>
          <w:tcPr>
            <w:tcW w:w="1587" w:type="dxa"/>
            <w:tcBorders>
              <w:tl2br w:val="nil"/>
              <w:tr2bl w:val="nil"/>
            </w:tcBorders>
            <w:tcMar>
              <w:top w:w="17" w:type="dxa"/>
              <w:left w:w="57" w:type="dxa"/>
              <w:bottom w:w="17" w:type="dxa"/>
              <w:right w:w="57" w:type="dxa"/>
            </w:tcMar>
            <w:vAlign w:val="center"/>
          </w:tcPr>
          <w:p w14:paraId="3115F6CC">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仓储管控制度中明确管控频次，建议每日/每月进行</w:t>
            </w:r>
          </w:p>
        </w:tc>
        <w:tc>
          <w:tcPr>
            <w:tcW w:w="680" w:type="dxa"/>
            <w:tcBorders>
              <w:tl2br w:val="nil"/>
              <w:tr2bl w:val="nil"/>
            </w:tcBorders>
            <w:tcMar>
              <w:top w:w="17" w:type="dxa"/>
              <w:left w:w="57" w:type="dxa"/>
              <w:bottom w:w="17" w:type="dxa"/>
              <w:right w:w="57" w:type="dxa"/>
            </w:tcMar>
            <w:vAlign w:val="center"/>
          </w:tcPr>
          <w:p w14:paraId="3ED8DA9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725C0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561" w:hRule="atLeast"/>
          <w:jc w:val="center"/>
        </w:trPr>
        <w:tc>
          <w:tcPr>
            <w:tcW w:w="624" w:type="dxa"/>
            <w:vMerge w:val="continue"/>
            <w:tcBorders>
              <w:tl2br w:val="nil"/>
              <w:tr2bl w:val="nil"/>
            </w:tcBorders>
            <w:tcMar>
              <w:top w:w="17" w:type="dxa"/>
              <w:left w:w="57" w:type="dxa"/>
              <w:bottom w:w="17" w:type="dxa"/>
              <w:right w:w="57" w:type="dxa"/>
            </w:tcMar>
            <w:vAlign w:val="center"/>
          </w:tcPr>
          <w:p w14:paraId="55A0063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09426B2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56C813E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vMerge w:val="continue"/>
            <w:tcBorders>
              <w:tl2br w:val="nil"/>
              <w:tr2bl w:val="nil"/>
            </w:tcBorders>
            <w:tcMar>
              <w:top w:w="17" w:type="dxa"/>
              <w:left w:w="57" w:type="dxa"/>
              <w:bottom w:w="17" w:type="dxa"/>
              <w:right w:w="57" w:type="dxa"/>
            </w:tcMar>
            <w:vAlign w:val="center"/>
          </w:tcPr>
          <w:p w14:paraId="25BF28A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4B017F0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不同类别产品存放管理</w:t>
            </w:r>
          </w:p>
        </w:tc>
        <w:tc>
          <w:tcPr>
            <w:tcW w:w="2835" w:type="dxa"/>
            <w:tcBorders>
              <w:tl2br w:val="nil"/>
              <w:tr2bl w:val="nil"/>
            </w:tcBorders>
            <w:tcMar>
              <w:top w:w="17" w:type="dxa"/>
              <w:left w:w="57" w:type="dxa"/>
              <w:bottom w:w="17" w:type="dxa"/>
              <w:right w:w="57" w:type="dxa"/>
            </w:tcMar>
            <w:vAlign w:val="center"/>
          </w:tcPr>
          <w:p w14:paraId="70F6602C">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不合格品、待检产品、合格品等混放，易导致不合格品误出厂。</w:t>
            </w:r>
          </w:p>
        </w:tc>
        <w:tc>
          <w:tcPr>
            <w:tcW w:w="3402" w:type="dxa"/>
            <w:tcBorders>
              <w:tl2br w:val="nil"/>
              <w:tr2bl w:val="nil"/>
            </w:tcBorders>
            <w:tcMar>
              <w:top w:w="17" w:type="dxa"/>
              <w:left w:w="57" w:type="dxa"/>
              <w:bottom w:w="17" w:type="dxa"/>
              <w:right w:w="57" w:type="dxa"/>
            </w:tcMar>
            <w:vAlign w:val="center"/>
          </w:tcPr>
          <w:p w14:paraId="6D434C70">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不合格产品、待检产品、合格品应设立单独存放区域并且明确标识，避免误用。</w:t>
            </w:r>
          </w:p>
        </w:tc>
        <w:tc>
          <w:tcPr>
            <w:tcW w:w="1077" w:type="dxa"/>
            <w:tcBorders>
              <w:tl2br w:val="nil"/>
              <w:tr2bl w:val="nil"/>
            </w:tcBorders>
            <w:tcMar>
              <w:top w:w="17" w:type="dxa"/>
              <w:left w:w="57" w:type="dxa"/>
              <w:bottom w:w="17" w:type="dxa"/>
              <w:right w:w="57" w:type="dxa"/>
            </w:tcMar>
            <w:vAlign w:val="center"/>
          </w:tcPr>
          <w:p w14:paraId="6E817A60">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符合产品分类存储要求</w:t>
            </w:r>
          </w:p>
        </w:tc>
        <w:tc>
          <w:tcPr>
            <w:tcW w:w="1587" w:type="dxa"/>
            <w:tcBorders>
              <w:tl2br w:val="nil"/>
              <w:tr2bl w:val="nil"/>
            </w:tcBorders>
            <w:tcMar>
              <w:top w:w="17" w:type="dxa"/>
              <w:left w:w="57" w:type="dxa"/>
              <w:bottom w:w="17" w:type="dxa"/>
              <w:right w:w="57" w:type="dxa"/>
            </w:tcMar>
            <w:vAlign w:val="center"/>
          </w:tcPr>
          <w:p w14:paraId="54A00649">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仓储管控制度中明确管控频次，建议每日进行</w:t>
            </w:r>
          </w:p>
        </w:tc>
        <w:tc>
          <w:tcPr>
            <w:tcW w:w="680" w:type="dxa"/>
            <w:tcBorders>
              <w:tl2br w:val="nil"/>
              <w:tr2bl w:val="nil"/>
            </w:tcBorders>
            <w:tcMar>
              <w:top w:w="17" w:type="dxa"/>
              <w:left w:w="57" w:type="dxa"/>
              <w:bottom w:w="17" w:type="dxa"/>
              <w:right w:w="57" w:type="dxa"/>
            </w:tcMar>
            <w:vAlign w:val="center"/>
          </w:tcPr>
          <w:p w14:paraId="10C6760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0D00C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404" w:hRule="atLeast"/>
          <w:jc w:val="center"/>
        </w:trPr>
        <w:tc>
          <w:tcPr>
            <w:tcW w:w="624" w:type="dxa"/>
            <w:vMerge w:val="continue"/>
            <w:tcBorders>
              <w:tl2br w:val="nil"/>
              <w:tr2bl w:val="nil"/>
            </w:tcBorders>
            <w:tcMar>
              <w:top w:w="17" w:type="dxa"/>
              <w:left w:w="57" w:type="dxa"/>
              <w:bottom w:w="17" w:type="dxa"/>
              <w:right w:w="57" w:type="dxa"/>
            </w:tcMar>
            <w:vAlign w:val="center"/>
          </w:tcPr>
          <w:p w14:paraId="6971D02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4A6789C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613B25D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6CE39C9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运输环节</w:t>
            </w:r>
          </w:p>
        </w:tc>
        <w:tc>
          <w:tcPr>
            <w:tcW w:w="850" w:type="dxa"/>
            <w:tcBorders>
              <w:tl2br w:val="nil"/>
              <w:tr2bl w:val="nil"/>
            </w:tcBorders>
            <w:tcMar>
              <w:top w:w="17" w:type="dxa"/>
              <w:left w:w="57" w:type="dxa"/>
              <w:bottom w:w="17" w:type="dxa"/>
              <w:right w:w="57" w:type="dxa"/>
            </w:tcMar>
            <w:vAlign w:val="center"/>
          </w:tcPr>
          <w:p w14:paraId="6C42E20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产品运输管理</w:t>
            </w:r>
          </w:p>
        </w:tc>
        <w:tc>
          <w:tcPr>
            <w:tcW w:w="2835" w:type="dxa"/>
            <w:tcBorders>
              <w:tl2br w:val="nil"/>
              <w:tr2bl w:val="nil"/>
            </w:tcBorders>
            <w:tcMar>
              <w:top w:w="17" w:type="dxa"/>
              <w:left w:w="57" w:type="dxa"/>
              <w:bottom w:w="17" w:type="dxa"/>
              <w:right w:w="57" w:type="dxa"/>
            </w:tcMar>
            <w:vAlign w:val="center"/>
          </w:tcPr>
          <w:p w14:paraId="36861CB8">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运输过程中环境不清洁、不卫生，温</w:t>
            </w:r>
            <w:r>
              <w:rPr>
                <w:rStyle w:val="10"/>
                <w:rFonts w:hint="eastAsia" w:ascii="仿宋_GB2312" w:hAnsi="仿宋_GB2312" w:eastAsia="仿宋_GB2312" w:cs="仿宋_GB2312"/>
                <w:color w:val="000000"/>
                <w:sz w:val="24"/>
              </w:rPr>
              <w:t>度、</w:t>
            </w:r>
            <w:r>
              <w:rPr>
                <w:rFonts w:hint="eastAsia" w:ascii="仿宋_GB2312" w:hAnsi="仿宋" w:eastAsia="仿宋_GB2312" w:cs="仿宋_GB2312"/>
                <w:color w:val="000000"/>
                <w:kern w:val="0"/>
                <w:sz w:val="24"/>
                <w:lang w:bidi="ar"/>
              </w:rPr>
              <w:t>湿度不符合要求，导致产品被污染。</w:t>
            </w:r>
          </w:p>
        </w:tc>
        <w:tc>
          <w:tcPr>
            <w:tcW w:w="3402" w:type="dxa"/>
            <w:tcBorders>
              <w:tl2br w:val="nil"/>
              <w:tr2bl w:val="nil"/>
            </w:tcBorders>
            <w:tcMar>
              <w:top w:w="17" w:type="dxa"/>
              <w:left w:w="57" w:type="dxa"/>
              <w:bottom w:w="17" w:type="dxa"/>
              <w:right w:w="57" w:type="dxa"/>
            </w:tcMar>
            <w:vAlign w:val="center"/>
          </w:tcPr>
          <w:p w14:paraId="39149A1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.根据标签标注的运输条件运输，避免雨淋、受潮、高温、高湿，不得将食品与有毒、有害、或有异味的物品一同运输。</w:t>
            </w:r>
          </w:p>
          <w:p w14:paraId="0779820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.运输和装卸食品的容器、工器具和设备应当安全、无害，保持清洁，降低食品污染的风险。</w:t>
            </w:r>
          </w:p>
        </w:tc>
        <w:tc>
          <w:tcPr>
            <w:tcW w:w="1077" w:type="dxa"/>
            <w:tcBorders>
              <w:tl2br w:val="nil"/>
              <w:tr2bl w:val="nil"/>
            </w:tcBorders>
            <w:tcMar>
              <w:top w:w="17" w:type="dxa"/>
              <w:left w:w="57" w:type="dxa"/>
              <w:bottom w:w="17" w:type="dxa"/>
              <w:right w:w="57" w:type="dxa"/>
            </w:tcMar>
            <w:vAlign w:val="center"/>
          </w:tcPr>
          <w:p w14:paraId="312801D7">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14881</w:t>
            </w:r>
            <w:r>
              <w:rPr>
                <w:rFonts w:hint="eastAsia" w:ascii="仿宋_GB2312" w:hAnsi="仿宋" w:eastAsia="仿宋_GB2312" w:cs="仿宋_GB2312"/>
                <w:color w:val="000000"/>
                <w:kern w:val="0"/>
                <w:sz w:val="24"/>
                <w:lang w:bidi="ar"/>
              </w:rPr>
              <w:t>的相关规定</w:t>
            </w:r>
          </w:p>
        </w:tc>
        <w:tc>
          <w:tcPr>
            <w:tcW w:w="1587" w:type="dxa"/>
            <w:tcBorders>
              <w:tl2br w:val="nil"/>
              <w:tr2bl w:val="nil"/>
            </w:tcBorders>
            <w:tcMar>
              <w:top w:w="17" w:type="dxa"/>
              <w:left w:w="57" w:type="dxa"/>
              <w:bottom w:w="17" w:type="dxa"/>
              <w:right w:w="57" w:type="dxa"/>
            </w:tcMar>
            <w:vAlign w:val="center"/>
          </w:tcPr>
          <w:p w14:paraId="15CF661A">
            <w:pPr>
              <w:keepNext w:val="0"/>
              <w:keepLines w:val="0"/>
              <w:pageBreakBefore w:val="0"/>
              <w:widowControl w:val="0"/>
              <w:kinsoku/>
              <w:wordWrap/>
              <w:overflowPunct w:val="0"/>
              <w:topLinePunct w:val="0"/>
              <w:autoSpaceDE/>
              <w:autoSpaceDN/>
              <w:bidi w:val="0"/>
              <w:adjustRightInd w:val="0"/>
              <w:snapToGrid w:val="0"/>
              <w:spacing w:line="32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产品交付管理制度中明确管控频次，建议每车进行</w:t>
            </w:r>
          </w:p>
        </w:tc>
        <w:tc>
          <w:tcPr>
            <w:tcW w:w="680" w:type="dxa"/>
            <w:tcBorders>
              <w:tl2br w:val="nil"/>
              <w:tr2bl w:val="nil"/>
            </w:tcBorders>
            <w:tcMar>
              <w:top w:w="17" w:type="dxa"/>
              <w:left w:w="57" w:type="dxa"/>
              <w:bottom w:w="17" w:type="dxa"/>
              <w:right w:w="57" w:type="dxa"/>
            </w:tcMar>
            <w:vAlign w:val="center"/>
          </w:tcPr>
          <w:p w14:paraId="4FCD82F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0F6AD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700" w:hRule="atLeast"/>
          <w:jc w:val="center"/>
        </w:trPr>
        <w:tc>
          <w:tcPr>
            <w:tcW w:w="624" w:type="dxa"/>
            <w:vMerge w:val="continue"/>
            <w:tcBorders>
              <w:tl2br w:val="nil"/>
              <w:tr2bl w:val="nil"/>
            </w:tcBorders>
            <w:tcMar>
              <w:top w:w="17" w:type="dxa"/>
              <w:left w:w="57" w:type="dxa"/>
              <w:bottom w:w="17" w:type="dxa"/>
              <w:right w:w="57" w:type="dxa"/>
            </w:tcMar>
            <w:vAlign w:val="center"/>
          </w:tcPr>
          <w:p w14:paraId="2E64188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624" w:type="dxa"/>
            <w:vMerge w:val="continue"/>
            <w:tcBorders>
              <w:tl2br w:val="nil"/>
              <w:tr2bl w:val="nil"/>
            </w:tcBorders>
            <w:tcMar>
              <w:top w:w="17" w:type="dxa"/>
              <w:left w:w="57" w:type="dxa"/>
              <w:bottom w:w="17" w:type="dxa"/>
              <w:right w:w="57" w:type="dxa"/>
            </w:tcMar>
            <w:vAlign w:val="center"/>
          </w:tcPr>
          <w:p w14:paraId="2DF24B0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850" w:type="dxa"/>
            <w:vMerge w:val="restart"/>
            <w:tcBorders>
              <w:tl2br w:val="nil"/>
              <w:tr2bl w:val="nil"/>
            </w:tcBorders>
            <w:tcMar>
              <w:top w:w="17" w:type="dxa"/>
              <w:left w:w="57" w:type="dxa"/>
              <w:bottom w:w="17" w:type="dxa"/>
              <w:right w:w="57" w:type="dxa"/>
            </w:tcMar>
            <w:vAlign w:val="center"/>
          </w:tcPr>
          <w:p w14:paraId="0C01A74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不合格品管理与食品安全事故处置</w:t>
            </w:r>
          </w:p>
        </w:tc>
        <w:tc>
          <w:tcPr>
            <w:tcW w:w="850" w:type="dxa"/>
            <w:tcBorders>
              <w:tl2br w:val="nil"/>
              <w:tr2bl w:val="nil"/>
            </w:tcBorders>
            <w:tcMar>
              <w:top w:w="17" w:type="dxa"/>
              <w:left w:w="57" w:type="dxa"/>
              <w:bottom w:w="17" w:type="dxa"/>
              <w:right w:w="57" w:type="dxa"/>
            </w:tcMar>
            <w:vAlign w:val="center"/>
          </w:tcPr>
          <w:p w14:paraId="04BFC56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不合格品管理</w:t>
            </w:r>
          </w:p>
        </w:tc>
        <w:tc>
          <w:tcPr>
            <w:tcW w:w="850" w:type="dxa"/>
            <w:tcBorders>
              <w:tl2br w:val="nil"/>
              <w:tr2bl w:val="nil"/>
            </w:tcBorders>
            <w:tcMar>
              <w:top w:w="17" w:type="dxa"/>
              <w:left w:w="57" w:type="dxa"/>
              <w:bottom w:w="17" w:type="dxa"/>
              <w:right w:w="57" w:type="dxa"/>
            </w:tcMar>
            <w:vAlign w:val="center"/>
          </w:tcPr>
          <w:p w14:paraId="1742B60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误用不合格品</w:t>
            </w:r>
          </w:p>
        </w:tc>
        <w:tc>
          <w:tcPr>
            <w:tcW w:w="2835" w:type="dxa"/>
            <w:tcBorders>
              <w:tl2br w:val="nil"/>
              <w:tr2bl w:val="nil"/>
            </w:tcBorders>
            <w:tcMar>
              <w:top w:w="17" w:type="dxa"/>
              <w:left w:w="57" w:type="dxa"/>
              <w:bottom w:w="17" w:type="dxa"/>
              <w:right w:w="57" w:type="dxa"/>
            </w:tcMar>
            <w:vAlign w:val="center"/>
          </w:tcPr>
          <w:p w14:paraId="76DE29B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不合格半成品、成品未分区存放导致误用或发货。</w:t>
            </w:r>
          </w:p>
        </w:tc>
        <w:tc>
          <w:tcPr>
            <w:tcW w:w="3402" w:type="dxa"/>
            <w:tcBorders>
              <w:tl2br w:val="nil"/>
              <w:tr2bl w:val="nil"/>
            </w:tcBorders>
            <w:tcMar>
              <w:top w:w="17" w:type="dxa"/>
              <w:left w:w="57" w:type="dxa"/>
              <w:bottom w:w="17" w:type="dxa"/>
              <w:right w:w="57" w:type="dxa"/>
            </w:tcMar>
            <w:vAlign w:val="center"/>
          </w:tcPr>
          <w:p w14:paraId="3B62DA8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建立不合格品管理制度，在库房设置不合格品区，严格对不合格品、不合格半成品进行风险评估，根据风险评估结果选择返工、销毁等处理方式。</w:t>
            </w:r>
          </w:p>
        </w:tc>
        <w:tc>
          <w:tcPr>
            <w:tcW w:w="1077" w:type="dxa"/>
            <w:tcBorders>
              <w:tl2br w:val="nil"/>
              <w:tr2bl w:val="nil"/>
            </w:tcBorders>
            <w:tcMar>
              <w:top w:w="17" w:type="dxa"/>
              <w:left w:w="57" w:type="dxa"/>
              <w:bottom w:w="17" w:type="dxa"/>
              <w:right w:w="57" w:type="dxa"/>
            </w:tcMar>
            <w:vAlign w:val="center"/>
          </w:tcPr>
          <w:p w14:paraId="64C0452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符合不合格品管理要求</w:t>
            </w:r>
          </w:p>
        </w:tc>
        <w:tc>
          <w:tcPr>
            <w:tcW w:w="1587" w:type="dxa"/>
            <w:tcBorders>
              <w:tl2br w:val="nil"/>
              <w:tr2bl w:val="nil"/>
            </w:tcBorders>
            <w:tcMar>
              <w:top w:w="17" w:type="dxa"/>
              <w:left w:w="57" w:type="dxa"/>
              <w:bottom w:w="17" w:type="dxa"/>
              <w:right w:w="57" w:type="dxa"/>
            </w:tcMar>
            <w:vAlign w:val="center"/>
          </w:tcPr>
          <w:p w14:paraId="5829890C">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制度中明确管控频次，建议每批次进行</w:t>
            </w:r>
          </w:p>
        </w:tc>
        <w:tc>
          <w:tcPr>
            <w:tcW w:w="680" w:type="dxa"/>
            <w:tcBorders>
              <w:tl2br w:val="nil"/>
              <w:tr2bl w:val="nil"/>
            </w:tcBorders>
            <w:tcMar>
              <w:top w:w="17" w:type="dxa"/>
              <w:left w:w="57" w:type="dxa"/>
              <w:bottom w:w="17" w:type="dxa"/>
              <w:right w:w="57" w:type="dxa"/>
            </w:tcMar>
            <w:vAlign w:val="center"/>
          </w:tcPr>
          <w:p w14:paraId="3A54FAB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34992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275" w:hRule="atLeast"/>
          <w:jc w:val="center"/>
        </w:trPr>
        <w:tc>
          <w:tcPr>
            <w:tcW w:w="624" w:type="dxa"/>
            <w:vMerge w:val="continue"/>
            <w:tcBorders>
              <w:tl2br w:val="nil"/>
              <w:tr2bl w:val="nil"/>
            </w:tcBorders>
            <w:tcMar>
              <w:top w:w="17" w:type="dxa"/>
              <w:left w:w="57" w:type="dxa"/>
              <w:bottom w:w="17" w:type="dxa"/>
              <w:right w:w="57" w:type="dxa"/>
            </w:tcMar>
            <w:vAlign w:val="center"/>
          </w:tcPr>
          <w:p w14:paraId="634F2E8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624" w:type="dxa"/>
            <w:vMerge w:val="continue"/>
            <w:tcBorders>
              <w:tl2br w:val="nil"/>
              <w:tr2bl w:val="nil"/>
            </w:tcBorders>
            <w:tcMar>
              <w:top w:w="17" w:type="dxa"/>
              <w:left w:w="57" w:type="dxa"/>
              <w:bottom w:w="17" w:type="dxa"/>
              <w:right w:w="57" w:type="dxa"/>
            </w:tcMar>
            <w:vAlign w:val="center"/>
          </w:tcPr>
          <w:p w14:paraId="5FF1226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sz w:val="24"/>
              </w:rPr>
            </w:pPr>
          </w:p>
        </w:tc>
        <w:tc>
          <w:tcPr>
            <w:tcW w:w="850" w:type="dxa"/>
            <w:vMerge w:val="continue"/>
            <w:tcBorders>
              <w:tl2br w:val="nil"/>
              <w:tr2bl w:val="nil"/>
            </w:tcBorders>
            <w:tcMar>
              <w:top w:w="17" w:type="dxa"/>
              <w:left w:w="57" w:type="dxa"/>
              <w:bottom w:w="17" w:type="dxa"/>
              <w:right w:w="57" w:type="dxa"/>
            </w:tcMar>
            <w:vAlign w:val="center"/>
          </w:tcPr>
          <w:p w14:paraId="0D63458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26DE7AB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食品安全事故处置</w:t>
            </w:r>
          </w:p>
        </w:tc>
        <w:tc>
          <w:tcPr>
            <w:tcW w:w="850" w:type="dxa"/>
            <w:tcBorders>
              <w:tl2br w:val="nil"/>
              <w:tr2bl w:val="nil"/>
            </w:tcBorders>
            <w:tcMar>
              <w:top w:w="17" w:type="dxa"/>
              <w:left w:w="57" w:type="dxa"/>
              <w:bottom w:w="17" w:type="dxa"/>
              <w:right w:w="57" w:type="dxa"/>
            </w:tcMar>
            <w:vAlign w:val="center"/>
          </w:tcPr>
          <w:p w14:paraId="099AA1F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食品安全事故处置方案的制定和落实</w:t>
            </w:r>
          </w:p>
        </w:tc>
        <w:tc>
          <w:tcPr>
            <w:tcW w:w="2835" w:type="dxa"/>
            <w:tcBorders>
              <w:tl2br w:val="nil"/>
              <w:tr2bl w:val="nil"/>
            </w:tcBorders>
            <w:tcMar>
              <w:top w:w="17" w:type="dxa"/>
              <w:left w:w="57" w:type="dxa"/>
              <w:bottom w:w="17" w:type="dxa"/>
              <w:right w:w="57" w:type="dxa"/>
            </w:tcMar>
            <w:vAlign w:val="center"/>
          </w:tcPr>
          <w:p w14:paraId="11E5662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食品安全事故处置方案制定不合理，未定期检查本企业各项食品安全风险防范措施的落实情况。</w:t>
            </w:r>
          </w:p>
        </w:tc>
        <w:tc>
          <w:tcPr>
            <w:tcW w:w="3402" w:type="dxa"/>
            <w:tcBorders>
              <w:tl2br w:val="nil"/>
              <w:tr2bl w:val="nil"/>
            </w:tcBorders>
            <w:tcMar>
              <w:top w:w="17" w:type="dxa"/>
              <w:left w:w="57" w:type="dxa"/>
              <w:bottom w:w="17" w:type="dxa"/>
              <w:right w:w="57" w:type="dxa"/>
            </w:tcMar>
            <w:vAlign w:val="center"/>
          </w:tcPr>
          <w:p w14:paraId="26D472D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制定食品安全事故处置方案，定期检查本企业各项食品安全风险防范措施的落实情况，及时消除事故隐患。</w:t>
            </w:r>
          </w:p>
        </w:tc>
        <w:tc>
          <w:tcPr>
            <w:tcW w:w="1077" w:type="dxa"/>
            <w:tcBorders>
              <w:tl2br w:val="nil"/>
              <w:tr2bl w:val="nil"/>
            </w:tcBorders>
            <w:tcMar>
              <w:top w:w="17" w:type="dxa"/>
              <w:left w:w="57" w:type="dxa"/>
              <w:bottom w:w="17" w:type="dxa"/>
              <w:right w:w="57" w:type="dxa"/>
            </w:tcMar>
            <w:vAlign w:val="center"/>
          </w:tcPr>
          <w:p w14:paraId="525D5C7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符合要求</w:t>
            </w:r>
          </w:p>
        </w:tc>
        <w:tc>
          <w:tcPr>
            <w:tcW w:w="1587" w:type="dxa"/>
            <w:tcBorders>
              <w:tl2br w:val="nil"/>
              <w:tr2bl w:val="nil"/>
            </w:tcBorders>
            <w:tcMar>
              <w:top w:w="17" w:type="dxa"/>
              <w:left w:w="57" w:type="dxa"/>
              <w:bottom w:w="17" w:type="dxa"/>
              <w:right w:w="57" w:type="dxa"/>
            </w:tcMar>
            <w:vAlign w:val="center"/>
          </w:tcPr>
          <w:p w14:paraId="0B8E33B8">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食品安全事故处置制度中明确演练频次，建议每年进行</w:t>
            </w:r>
          </w:p>
        </w:tc>
        <w:tc>
          <w:tcPr>
            <w:tcW w:w="680" w:type="dxa"/>
            <w:tcBorders>
              <w:tl2br w:val="nil"/>
              <w:tr2bl w:val="nil"/>
            </w:tcBorders>
            <w:tcMar>
              <w:top w:w="17" w:type="dxa"/>
              <w:left w:w="57" w:type="dxa"/>
              <w:bottom w:w="17" w:type="dxa"/>
              <w:right w:w="57" w:type="dxa"/>
            </w:tcMar>
            <w:vAlign w:val="center"/>
          </w:tcPr>
          <w:p w14:paraId="5AE2E64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23BAB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1640" w:hRule="atLeast"/>
          <w:jc w:val="center"/>
        </w:trPr>
        <w:tc>
          <w:tcPr>
            <w:tcW w:w="624" w:type="dxa"/>
            <w:vMerge w:val="continue"/>
            <w:tcBorders>
              <w:tl2br w:val="nil"/>
              <w:tr2bl w:val="nil"/>
            </w:tcBorders>
            <w:tcMar>
              <w:top w:w="17" w:type="dxa"/>
              <w:left w:w="57" w:type="dxa"/>
              <w:bottom w:w="17" w:type="dxa"/>
              <w:right w:w="57" w:type="dxa"/>
            </w:tcMar>
            <w:vAlign w:val="center"/>
          </w:tcPr>
          <w:p w14:paraId="088F90F2">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624" w:type="dxa"/>
            <w:vMerge w:val="continue"/>
            <w:tcBorders>
              <w:tl2br w:val="nil"/>
              <w:tr2bl w:val="nil"/>
            </w:tcBorders>
            <w:tcMar>
              <w:top w:w="17" w:type="dxa"/>
              <w:left w:w="57" w:type="dxa"/>
              <w:bottom w:w="17" w:type="dxa"/>
              <w:right w:w="57" w:type="dxa"/>
            </w:tcMar>
            <w:vAlign w:val="center"/>
          </w:tcPr>
          <w:p w14:paraId="1A553A9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850" w:type="dxa"/>
            <w:tcBorders>
              <w:tl2br w:val="nil"/>
              <w:tr2bl w:val="nil"/>
            </w:tcBorders>
            <w:tcMar>
              <w:top w:w="17" w:type="dxa"/>
              <w:left w:w="57" w:type="dxa"/>
              <w:bottom w:w="17" w:type="dxa"/>
              <w:right w:w="57" w:type="dxa"/>
            </w:tcMar>
            <w:vAlign w:val="center"/>
          </w:tcPr>
          <w:p w14:paraId="0D157187">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标签、说明书</w:t>
            </w:r>
          </w:p>
        </w:tc>
        <w:tc>
          <w:tcPr>
            <w:tcW w:w="850" w:type="dxa"/>
            <w:tcBorders>
              <w:tl2br w:val="nil"/>
              <w:tr2bl w:val="nil"/>
            </w:tcBorders>
            <w:tcMar>
              <w:top w:w="17" w:type="dxa"/>
              <w:left w:w="57" w:type="dxa"/>
              <w:bottom w:w="17" w:type="dxa"/>
              <w:right w:w="57" w:type="dxa"/>
            </w:tcMar>
            <w:vAlign w:val="center"/>
          </w:tcPr>
          <w:p w14:paraId="4E97C4F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标签、说明书管理</w:t>
            </w:r>
          </w:p>
        </w:tc>
        <w:tc>
          <w:tcPr>
            <w:tcW w:w="850" w:type="dxa"/>
            <w:tcBorders>
              <w:tl2br w:val="nil"/>
              <w:tr2bl w:val="nil"/>
            </w:tcBorders>
            <w:tcMar>
              <w:top w:w="17" w:type="dxa"/>
              <w:left w:w="57" w:type="dxa"/>
              <w:bottom w:w="17" w:type="dxa"/>
              <w:right w:w="57" w:type="dxa"/>
            </w:tcMar>
            <w:vAlign w:val="center"/>
          </w:tcPr>
          <w:p w14:paraId="7352A91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标签、说明书内容不规范</w:t>
            </w:r>
          </w:p>
        </w:tc>
        <w:tc>
          <w:tcPr>
            <w:tcW w:w="2835" w:type="dxa"/>
            <w:tcBorders>
              <w:tl2br w:val="nil"/>
              <w:tr2bl w:val="nil"/>
            </w:tcBorders>
            <w:tcMar>
              <w:top w:w="17" w:type="dxa"/>
              <w:left w:w="57" w:type="dxa"/>
              <w:bottom w:w="17" w:type="dxa"/>
              <w:right w:w="57" w:type="dxa"/>
            </w:tcMar>
            <w:vAlign w:val="center"/>
          </w:tcPr>
          <w:p w14:paraId="12367CE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.标签、说明书内容涉及疾病预防、治疗、保健功能。</w:t>
            </w:r>
          </w:p>
          <w:p w14:paraId="7D2F55EA">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.不符合相关法律法规和</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7718</w:t>
            </w:r>
            <w:r>
              <w:rPr>
                <w:rFonts w:hint="eastAsia" w:ascii="仿宋_GB2312" w:hAnsi="仿宋" w:eastAsia="仿宋_GB2312" w:cs="仿宋_GB2312"/>
                <w:color w:val="000000"/>
                <w:kern w:val="0"/>
                <w:sz w:val="24"/>
                <w:lang w:bidi="ar"/>
              </w:rPr>
              <w:t>等标准的要求。</w:t>
            </w:r>
          </w:p>
        </w:tc>
        <w:tc>
          <w:tcPr>
            <w:tcW w:w="3402" w:type="dxa"/>
            <w:tcBorders>
              <w:tl2br w:val="nil"/>
              <w:tr2bl w:val="nil"/>
            </w:tcBorders>
            <w:tcMar>
              <w:top w:w="17" w:type="dxa"/>
              <w:left w:w="57" w:type="dxa"/>
              <w:bottom w:w="17" w:type="dxa"/>
              <w:right w:w="57" w:type="dxa"/>
            </w:tcMar>
            <w:vAlign w:val="center"/>
          </w:tcPr>
          <w:p w14:paraId="60B27193">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.对企业人员进行食品标签标识相关法律法规和国家标准的培训。</w:t>
            </w:r>
          </w:p>
          <w:p w14:paraId="332F5100">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.严格按照相关法律法规和</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7718</w:t>
            </w:r>
            <w:r>
              <w:rPr>
                <w:rFonts w:hint="eastAsia" w:ascii="仿宋_GB2312" w:hAnsi="仿宋" w:eastAsia="仿宋_GB2312" w:cs="仿宋_GB2312"/>
                <w:color w:val="000000"/>
                <w:kern w:val="0"/>
                <w:sz w:val="24"/>
                <w:lang w:bidi="ar"/>
              </w:rPr>
              <w:t>等标准进行标识。</w:t>
            </w:r>
          </w:p>
        </w:tc>
        <w:tc>
          <w:tcPr>
            <w:tcW w:w="1077" w:type="dxa"/>
            <w:tcBorders>
              <w:tl2br w:val="nil"/>
              <w:tr2bl w:val="nil"/>
            </w:tcBorders>
            <w:tcMar>
              <w:top w:w="17" w:type="dxa"/>
              <w:left w:w="57" w:type="dxa"/>
              <w:bottom w:w="17" w:type="dxa"/>
              <w:right w:w="57" w:type="dxa"/>
            </w:tcMar>
            <w:vAlign w:val="center"/>
          </w:tcPr>
          <w:p w14:paraId="09F4254B">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符合相关法律法规、</w:t>
            </w:r>
            <w:r>
              <w:rPr>
                <w:rFonts w:hint="eastAsia" w:ascii="Times New Roman" w:hAnsi="Times New Roman" w:eastAsia="仿宋_GB2312" w:cs="仿宋_GB2312"/>
                <w:color w:val="000000"/>
                <w:kern w:val="0"/>
                <w:sz w:val="24"/>
                <w:lang w:bidi="ar"/>
              </w:rPr>
              <w:t>GB</w:t>
            </w:r>
            <w:r>
              <w:rPr>
                <w:rFonts w:hint="eastAsia" w:ascii="仿宋_GB2312" w:hAnsi="仿宋" w:eastAsia="仿宋_GB2312" w:cs="仿宋_GB2312"/>
                <w:color w:val="000000"/>
                <w:kern w:val="0"/>
                <w:sz w:val="24"/>
                <w:lang w:bidi="ar"/>
              </w:rPr>
              <w:t xml:space="preserve"> </w:t>
            </w:r>
            <w:r>
              <w:rPr>
                <w:rFonts w:hint="eastAsia" w:ascii="Times New Roman" w:hAnsi="Times New Roman" w:eastAsia="仿宋_GB2312" w:cs="仿宋_GB2312"/>
                <w:color w:val="000000"/>
                <w:kern w:val="0"/>
                <w:sz w:val="24"/>
                <w:lang w:bidi="ar"/>
              </w:rPr>
              <w:t>7718</w:t>
            </w:r>
            <w:r>
              <w:rPr>
                <w:rFonts w:hint="eastAsia" w:ascii="仿宋_GB2312" w:hAnsi="仿宋" w:eastAsia="仿宋_GB2312" w:cs="仿宋_GB2312"/>
                <w:color w:val="000000"/>
                <w:kern w:val="0"/>
                <w:sz w:val="24"/>
                <w:lang w:bidi="ar"/>
              </w:rPr>
              <w:t>及产品执行标准的要求</w:t>
            </w:r>
          </w:p>
        </w:tc>
        <w:tc>
          <w:tcPr>
            <w:tcW w:w="1587" w:type="dxa"/>
            <w:tcBorders>
              <w:tl2br w:val="nil"/>
              <w:tr2bl w:val="nil"/>
            </w:tcBorders>
            <w:tcMar>
              <w:top w:w="17" w:type="dxa"/>
              <w:left w:w="57" w:type="dxa"/>
              <w:bottom w:w="17" w:type="dxa"/>
              <w:right w:w="57" w:type="dxa"/>
            </w:tcMar>
            <w:vAlign w:val="center"/>
          </w:tcPr>
          <w:p w14:paraId="115D63B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合规性管理程序中明确管控要求，建议每年/必要时进行</w:t>
            </w:r>
          </w:p>
        </w:tc>
        <w:tc>
          <w:tcPr>
            <w:tcW w:w="680" w:type="dxa"/>
            <w:tcBorders>
              <w:tl2br w:val="nil"/>
              <w:tr2bl w:val="nil"/>
            </w:tcBorders>
            <w:tcMar>
              <w:top w:w="17" w:type="dxa"/>
              <w:left w:w="57" w:type="dxa"/>
              <w:bottom w:w="17" w:type="dxa"/>
              <w:right w:w="57" w:type="dxa"/>
            </w:tcMar>
            <w:vAlign w:val="center"/>
          </w:tcPr>
          <w:p w14:paraId="3FED9C9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r w14:paraId="5B4E4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7" w:type="dxa"/>
            <w:left w:w="57" w:type="dxa"/>
            <w:bottom w:w="17" w:type="dxa"/>
            <w:right w:w="57" w:type="dxa"/>
          </w:tblCellMar>
        </w:tblPrEx>
        <w:trPr>
          <w:trHeight w:val="763" w:hRule="atLeast"/>
          <w:jc w:val="center"/>
        </w:trPr>
        <w:tc>
          <w:tcPr>
            <w:tcW w:w="624" w:type="dxa"/>
            <w:vMerge w:val="continue"/>
            <w:tcBorders>
              <w:tl2br w:val="nil"/>
              <w:tr2bl w:val="nil"/>
            </w:tcBorders>
            <w:tcMar>
              <w:top w:w="17" w:type="dxa"/>
              <w:left w:w="57" w:type="dxa"/>
              <w:bottom w:w="17" w:type="dxa"/>
              <w:right w:w="57" w:type="dxa"/>
            </w:tcMar>
            <w:vAlign w:val="center"/>
          </w:tcPr>
          <w:p w14:paraId="2AAF237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624" w:type="dxa"/>
            <w:vMerge w:val="continue"/>
            <w:tcBorders>
              <w:tl2br w:val="nil"/>
              <w:tr2bl w:val="nil"/>
            </w:tcBorders>
            <w:tcMar>
              <w:top w:w="17" w:type="dxa"/>
              <w:left w:w="57" w:type="dxa"/>
              <w:bottom w:w="17" w:type="dxa"/>
              <w:right w:w="57" w:type="dxa"/>
            </w:tcMar>
            <w:vAlign w:val="center"/>
          </w:tcPr>
          <w:p w14:paraId="4845B78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_GB2312" w:eastAsia="仿宋_GB2312" w:cs="仿宋_GB2312"/>
                <w:color w:val="000000"/>
                <w:kern w:val="0"/>
                <w:sz w:val="24"/>
                <w:lang w:bidi="ar"/>
              </w:rPr>
            </w:pPr>
          </w:p>
        </w:tc>
        <w:tc>
          <w:tcPr>
            <w:tcW w:w="850" w:type="dxa"/>
            <w:gridSpan w:val="2"/>
            <w:tcBorders>
              <w:tl2br w:val="nil"/>
              <w:tr2bl w:val="nil"/>
            </w:tcBorders>
            <w:tcMar>
              <w:top w:w="17" w:type="dxa"/>
              <w:left w:w="57" w:type="dxa"/>
              <w:bottom w:w="17" w:type="dxa"/>
              <w:right w:w="57" w:type="dxa"/>
            </w:tcMar>
            <w:vAlign w:val="center"/>
          </w:tcPr>
          <w:p w14:paraId="30C33D8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生产者资质</w:t>
            </w:r>
          </w:p>
        </w:tc>
        <w:tc>
          <w:tcPr>
            <w:tcW w:w="850" w:type="dxa"/>
            <w:tcBorders>
              <w:tl2br w:val="nil"/>
              <w:tr2bl w:val="nil"/>
            </w:tcBorders>
            <w:tcMar>
              <w:top w:w="17" w:type="dxa"/>
              <w:left w:w="57" w:type="dxa"/>
              <w:bottom w:w="17" w:type="dxa"/>
              <w:right w:w="57" w:type="dxa"/>
            </w:tcMar>
            <w:vAlign w:val="center"/>
          </w:tcPr>
          <w:p w14:paraId="6DAC0284">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食品生产许可证的延续、变更、增项等</w:t>
            </w:r>
          </w:p>
        </w:tc>
        <w:tc>
          <w:tcPr>
            <w:tcW w:w="2835" w:type="dxa"/>
            <w:tcBorders>
              <w:tl2br w:val="nil"/>
              <w:tr2bl w:val="nil"/>
            </w:tcBorders>
            <w:tcMar>
              <w:top w:w="17" w:type="dxa"/>
              <w:left w:w="57" w:type="dxa"/>
              <w:bottom w:w="17" w:type="dxa"/>
              <w:right w:w="57" w:type="dxa"/>
            </w:tcMar>
            <w:vAlign w:val="center"/>
          </w:tcPr>
          <w:p w14:paraId="28A83425">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营业执照、食品生产许可证超过有效期仍进行生产。超出生产许可范围生产。主要设备布局和工艺流程与准予生产许可时生产条件发生变化，未及时申请变更。</w:t>
            </w:r>
          </w:p>
        </w:tc>
        <w:tc>
          <w:tcPr>
            <w:tcW w:w="3402" w:type="dxa"/>
            <w:tcBorders>
              <w:tl2br w:val="nil"/>
              <w:tr2bl w:val="nil"/>
            </w:tcBorders>
            <w:tcMar>
              <w:top w:w="17" w:type="dxa"/>
              <w:left w:w="57" w:type="dxa"/>
              <w:bottom w:w="17" w:type="dxa"/>
              <w:right w:w="57" w:type="dxa"/>
            </w:tcMar>
            <w:vAlign w:val="center"/>
          </w:tcPr>
          <w:p w14:paraId="36DD5ADD">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1</w:t>
            </w:r>
            <w:r>
              <w:rPr>
                <w:rFonts w:hint="eastAsia" w:ascii="仿宋_GB2312" w:hAnsi="仿宋" w:eastAsia="仿宋_GB2312" w:cs="仿宋_GB2312"/>
                <w:color w:val="000000"/>
                <w:kern w:val="0"/>
                <w:sz w:val="24"/>
                <w:lang w:bidi="ar"/>
              </w:rPr>
              <w:t>.严格落实自查制度，及时对证照进行延续和变更，确保食品生产许可资质在有效期内。</w:t>
            </w:r>
          </w:p>
          <w:p w14:paraId="541E3821">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2</w:t>
            </w:r>
            <w:r>
              <w:rPr>
                <w:rFonts w:hint="eastAsia" w:ascii="仿宋_GB2312" w:hAnsi="仿宋" w:eastAsia="仿宋_GB2312" w:cs="仿宋_GB2312"/>
                <w:color w:val="000000"/>
                <w:kern w:val="0"/>
                <w:sz w:val="24"/>
                <w:lang w:bidi="ar"/>
              </w:rPr>
              <w:t>.提升食品安全主体责任意识，加强食品安全法律法规的学习。</w:t>
            </w:r>
          </w:p>
          <w:p w14:paraId="57907D2E">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3</w:t>
            </w:r>
            <w:r>
              <w:rPr>
                <w:rFonts w:hint="eastAsia" w:ascii="仿宋_GB2312" w:hAnsi="仿宋" w:eastAsia="仿宋_GB2312" w:cs="仿宋_GB2312"/>
                <w:color w:val="000000"/>
                <w:kern w:val="0"/>
                <w:sz w:val="24"/>
                <w:lang w:bidi="ar"/>
              </w:rPr>
              <w:t>.依法组织生产，严格按照规定在许可范围内从事食品生产活动。</w:t>
            </w:r>
          </w:p>
          <w:p w14:paraId="0445A02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4</w:t>
            </w:r>
            <w:r>
              <w:rPr>
                <w:rFonts w:hint="eastAsia" w:ascii="仿宋_GB2312" w:hAnsi="仿宋" w:eastAsia="仿宋_GB2312" w:cs="仿宋_GB2312"/>
                <w:color w:val="000000"/>
                <w:kern w:val="0"/>
                <w:sz w:val="24"/>
                <w:lang w:bidi="ar"/>
              </w:rPr>
              <w:t>.主要生产设备、设备布局、工艺流程发生变化时及时向原发证部门申请变更。</w:t>
            </w:r>
          </w:p>
        </w:tc>
        <w:tc>
          <w:tcPr>
            <w:tcW w:w="1077" w:type="dxa"/>
            <w:tcBorders>
              <w:tl2br w:val="nil"/>
              <w:tr2bl w:val="nil"/>
            </w:tcBorders>
            <w:tcMar>
              <w:top w:w="17" w:type="dxa"/>
              <w:left w:w="57" w:type="dxa"/>
              <w:bottom w:w="17" w:type="dxa"/>
              <w:right w:w="57" w:type="dxa"/>
            </w:tcMar>
            <w:vAlign w:val="center"/>
          </w:tcPr>
          <w:p w14:paraId="3E530606">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符合《食品生产许可管理办法》</w:t>
            </w:r>
          </w:p>
        </w:tc>
        <w:tc>
          <w:tcPr>
            <w:tcW w:w="1587" w:type="dxa"/>
            <w:tcBorders>
              <w:tl2br w:val="nil"/>
              <w:tr2bl w:val="nil"/>
            </w:tcBorders>
            <w:tcMar>
              <w:top w:w="17" w:type="dxa"/>
              <w:left w:w="57" w:type="dxa"/>
              <w:bottom w:w="17" w:type="dxa"/>
              <w:right w:w="57" w:type="dxa"/>
            </w:tcMar>
            <w:vAlign w:val="center"/>
          </w:tcPr>
          <w:p w14:paraId="0C825D6F">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r>
              <w:rPr>
                <w:rFonts w:hint="eastAsia" w:ascii="仿宋_GB2312" w:hAnsi="仿宋" w:eastAsia="仿宋_GB2312" w:cs="仿宋_GB2312"/>
                <w:color w:val="000000"/>
                <w:kern w:val="0"/>
                <w:sz w:val="24"/>
                <w:lang w:bidi="ar"/>
              </w:rPr>
              <w:t>合规性管理程序中明确管控频次，建议每年/发生变更时/新增类别品种时进行</w:t>
            </w:r>
          </w:p>
        </w:tc>
        <w:tc>
          <w:tcPr>
            <w:tcW w:w="680" w:type="dxa"/>
            <w:tcBorders>
              <w:tl2br w:val="nil"/>
              <w:tr2bl w:val="nil"/>
            </w:tcBorders>
            <w:tcMar>
              <w:top w:w="17" w:type="dxa"/>
              <w:left w:w="57" w:type="dxa"/>
              <w:bottom w:w="17" w:type="dxa"/>
              <w:right w:w="57" w:type="dxa"/>
            </w:tcMar>
            <w:vAlign w:val="center"/>
          </w:tcPr>
          <w:p w14:paraId="423F01F9">
            <w:pPr>
              <w:keepNext w:val="0"/>
              <w:keepLines w:val="0"/>
              <w:pageBreakBefore w:val="0"/>
              <w:widowControl w:val="0"/>
              <w:kinsoku/>
              <w:wordWrap/>
              <w:overflowPunct w:val="0"/>
              <w:topLinePunct w:val="0"/>
              <w:autoSpaceDE/>
              <w:autoSpaceDN/>
              <w:bidi w:val="0"/>
              <w:adjustRightInd w:val="0"/>
              <w:snapToGrid w:val="0"/>
              <w:spacing w:line="300" w:lineRule="exact"/>
              <w:textAlignment w:val="center"/>
              <w:rPr>
                <w:rFonts w:hint="eastAsia" w:ascii="仿宋_GB2312" w:hAnsi="仿宋" w:eastAsia="仿宋_GB2312" w:cs="仿宋_GB2312"/>
                <w:color w:val="000000"/>
                <w:kern w:val="0"/>
                <w:sz w:val="24"/>
                <w:lang w:bidi="ar"/>
              </w:rPr>
            </w:pPr>
          </w:p>
        </w:tc>
      </w:tr>
    </w:tbl>
    <w:p w14:paraId="09AE5D85"/>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BA49C">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12AE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85549E">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2485549E">
                    <w:pPr>
                      <w:pStyle w:val="5"/>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DE12B">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ZDY3MjkzOWVlNTY1ZWZhYTc3YjBiYTY4Njg4OTIifQ=="/>
  </w:docVars>
  <w:rsids>
    <w:rsidRoot w:val="00000000"/>
    <w:rsid w:val="2B1F2FDF"/>
    <w:rsid w:val="2CBC21FB"/>
    <w:rsid w:val="3A82293D"/>
    <w:rsid w:val="44D22496"/>
    <w:rsid w:val="45E06E35"/>
    <w:rsid w:val="474B6530"/>
    <w:rsid w:val="49DB3B88"/>
    <w:rsid w:val="614371A1"/>
    <w:rsid w:val="619C5EAE"/>
    <w:rsid w:val="688B73B1"/>
    <w:rsid w:val="6B5614CE"/>
    <w:rsid w:val="77BA6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3"/>
    <w:basedOn w:val="1"/>
    <w:next w:val="3"/>
    <w:qFormat/>
    <w:uiPriority w:val="99"/>
    <w:pPr>
      <w:spacing w:after="120"/>
    </w:pPr>
    <w:rPr>
      <w:rFonts w:ascii="Times New Roman" w:hAnsi="Times New Roman" w:eastAsia="仿宋_GB2312"/>
      <w:kern w:val="0"/>
      <w:sz w:val="16"/>
      <w:szCs w:val="16"/>
    </w:rPr>
  </w:style>
  <w:style w:type="paragraph" w:customStyle="1" w:styleId="3">
    <w:name w:val="Char1"/>
    <w:basedOn w:val="1"/>
    <w:qFormat/>
    <w:uiPriority w:val="99"/>
    <w:pPr>
      <w:tabs>
        <w:tab w:val="left" w:pos="840"/>
      </w:tabs>
      <w:ind w:left="840" w:hanging="420"/>
    </w:pPr>
    <w:rPr>
      <w:rFonts w:ascii="Times New Roman" w:hAnsi="Times New Roman" w:eastAsia="仿宋_GB2312"/>
      <w:sz w:val="24"/>
    </w:rPr>
  </w:style>
  <w:style w:type="paragraph" w:styleId="4">
    <w:name w:val="annotation text"/>
    <w:basedOn w:val="1"/>
    <w:link w:val="10"/>
    <w:qFormat/>
    <w:uiPriority w:val="0"/>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2"/>
    <w:basedOn w:val="1"/>
    <w:qFormat/>
    <w:uiPriority w:val="0"/>
    <w:pPr>
      <w:spacing w:after="120" w:line="480" w:lineRule="auto"/>
    </w:pPr>
    <w:rPr>
      <w:rFonts w:ascii="Times New Roman" w:hAnsi="Times New Roman"/>
      <w:sz w:val="32"/>
    </w:rPr>
  </w:style>
  <w:style w:type="character" w:customStyle="1" w:styleId="10">
    <w:name w:val="批注文字 字符"/>
    <w:link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67820</Words>
  <Characters>70415</Characters>
  <Lines>0</Lines>
  <Paragraphs>0</Paragraphs>
  <TotalTime>8</TotalTime>
  <ScaleCrop>false</ScaleCrop>
  <LinksUpToDate>false</LinksUpToDate>
  <CharactersWithSpaces>70627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2024-08-29T12:41:00Z</dcterms:created>
  <dc:creator>blues</dc:creator>
  <cp:lastModifiedBy>晴空</cp:lastModifiedBy>
  <dcterms:modified xsi:type="dcterms:W3CDTF">2024-08-29T13:04:46Z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458678527DF64A51AE267B9D79DA9849_12</vt:lpwstr>
  </property>
</Properties>
</file>